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</w:t>
      </w:r>
      <w:r>
        <w:rPr>
          <w:b/>
          <w:sz w:val="22"/>
          <w:szCs w:val="22"/>
        </w:rPr>
        <w:t xml:space="preserve">оговор транспортировки газа 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_________</w:t>
      </w:r>
      <w:r>
        <w:rPr>
          <w:b/>
          <w:sz w:val="22"/>
          <w:szCs w:val="22"/>
        </w:rPr>
      </w:r>
    </w:p>
    <w:p>
      <w:pPr>
        <w:pStyle w:val="787"/>
        <w:ind w:firstLine="851"/>
        <w:widowControl w:val="off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87"/>
        <w:widowControl w:val="off"/>
        <w:rPr>
          <w:sz w:val="20"/>
        </w:rPr>
      </w:pPr>
      <w:r>
        <w:rPr>
          <w:sz w:val="20"/>
        </w:rPr>
        <w:t xml:space="preserve">г. Рязань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       </w:t>
      </w:r>
      <w:r>
        <w:rPr>
          <w:sz w:val="20"/>
        </w:rPr>
        <w:t xml:space="preserve">_____________</w:t>
      </w:r>
      <w:r>
        <w:rPr>
          <w:sz w:val="20"/>
        </w:rPr>
        <w:t xml:space="preserve"> г.</w:t>
      </w:r>
      <w:r>
        <w:rPr>
          <w:sz w:val="20"/>
        </w:rPr>
      </w:r>
    </w:p>
    <w:p>
      <w:pPr>
        <w:jc w:val="both"/>
      </w:pPr>
      <w:r/>
      <w:r/>
    </w:p>
    <w:p>
      <w:pPr>
        <w:pStyle w:val="801"/>
        <w:ind w:firstLine="567"/>
        <w:jc w:val="both"/>
        <w:spacing w:line="276" w:lineRule="auto"/>
        <w:widowControl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Акционерное общество “Рязаньгоргаз”</w:t>
      </w:r>
      <w:r>
        <w:rPr>
          <w:rFonts w:ascii="Times New Roman" w:hAnsi="Times New Roman"/>
          <w:b/>
        </w:rPr>
        <w:t xml:space="preserve">,</w:t>
      </w:r>
      <w:r>
        <w:rPr>
          <w:rFonts w:ascii="Times New Roman" w:hAnsi="Times New Roman"/>
        </w:rPr>
        <w:t xml:space="preserve"> именуемое в дальнейшем “</w:t>
      </w:r>
      <w:r>
        <w:rPr>
          <w:rFonts w:ascii="Times New Roman" w:hAnsi="Times New Roman"/>
          <w:b/>
        </w:rPr>
        <w:t xml:space="preserve">ГРО</w:t>
      </w:r>
      <w:r>
        <w:rPr>
          <w:rFonts w:ascii="Times New Roman" w:hAnsi="Times New Roman"/>
        </w:rPr>
        <w:t xml:space="preserve">”, в лице </w:t>
      </w:r>
      <w:r>
        <w:rPr>
          <w:rFonts w:ascii="Times New Roman" w:hAnsi="Times New Roman"/>
        </w:rPr>
        <w:t xml:space="preserve">________________________________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</w:rPr>
        <w:t xml:space="preserve">_________</w:t>
      </w:r>
      <w:r>
        <w:rPr>
          <w:rFonts w:ascii="Times New Roman" w:hAnsi="Times New Roman"/>
        </w:rPr>
        <w:t xml:space="preserve">, с одной стороны, 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________________________________</w:t>
      </w:r>
      <w:r>
        <w:rPr>
          <w:rFonts w:ascii="Times New Roman" w:hAnsi="Times New Roman"/>
          <w:b/>
        </w:rPr>
        <w:t xml:space="preserve">,</w:t>
      </w:r>
      <w:r>
        <w:rPr>
          <w:rFonts w:ascii="Times New Roman" w:hAnsi="Times New Roman"/>
        </w:rPr>
        <w:t xml:space="preserve"> именуемое в дальнейшем «</w:t>
      </w:r>
      <w:r>
        <w:rPr>
          <w:rFonts w:ascii="Times New Roman" w:hAnsi="Times New Roman"/>
          <w:b/>
        </w:rPr>
        <w:t xml:space="preserve">Потребитель</w:t>
      </w:r>
      <w:r>
        <w:rPr>
          <w:rFonts w:ascii="Times New Roman" w:hAnsi="Times New Roman"/>
        </w:rPr>
        <w:t xml:space="preserve">», в лице </w:t>
      </w:r>
      <w:r>
        <w:rPr>
          <w:rFonts w:ascii="Times New Roman" w:hAnsi="Times New Roman"/>
        </w:rPr>
        <w:t xml:space="preserve">_____________________</w:t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______________</w:t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  <w:t xml:space="preserve"> с другой стороны, именуемые в дальнейшем – «Стороны», заключили настоящий Договор транспортировки газа №</w:t>
      </w:r>
      <w:r>
        <w:rPr>
          <w:rFonts w:ascii="Times New Roman" w:hAnsi="Times New Roman"/>
        </w:rPr>
        <w:t xml:space="preserve">_______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______г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 (далее по тексту - Договор) о следующем:</w:t>
      </w:r>
      <w:r>
        <w:rPr>
          <w:rFonts w:ascii="Times New Roman" w:hAnsi="Times New Roman"/>
        </w:rPr>
      </w:r>
    </w:p>
    <w:p>
      <w:pPr>
        <w:pStyle w:val="801"/>
        <w:ind w:firstLine="567"/>
        <w:jc w:val="both"/>
        <w:spacing w:line="276" w:lineRule="auto"/>
        <w:widowControl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87"/>
        <w:numPr>
          <w:ilvl w:val="0"/>
          <w:numId w:val="23"/>
        </w:numPr>
        <w:jc w:val="center"/>
        <w:spacing w:line="276" w:lineRule="auto"/>
        <w:widowControl w:val="off"/>
        <w:rPr>
          <w:b/>
          <w:bCs/>
          <w:sz w:val="20"/>
        </w:rPr>
      </w:pPr>
      <w:r>
        <w:rPr>
          <w:b/>
          <w:bCs/>
          <w:sz w:val="20"/>
        </w:rPr>
        <w:t xml:space="preserve">Термины и определения</w:t>
      </w:r>
      <w:r>
        <w:rPr>
          <w:b/>
          <w:bCs/>
          <w:sz w:val="20"/>
        </w:rPr>
      </w:r>
    </w:p>
    <w:p>
      <w:pPr>
        <w:pStyle w:val="787"/>
        <w:ind w:left="720"/>
        <w:spacing w:line="276" w:lineRule="auto"/>
        <w:widowControl w:val="off"/>
        <w:rPr>
          <w:b/>
          <w:bCs/>
          <w:sz w:val="20"/>
        </w:rPr>
      </w:pPr>
      <w:r>
        <w:rPr>
          <w:b/>
          <w:bCs/>
          <w:sz w:val="20"/>
        </w:rPr>
      </w:r>
      <w:r>
        <w:rPr>
          <w:b/>
          <w:bCs/>
          <w:sz w:val="20"/>
        </w:rPr>
      </w:r>
    </w:p>
    <w:p>
      <w:pPr>
        <w:ind w:left="0" w:right="0" w:firstLine="567"/>
        <w:jc w:val="both"/>
        <w:spacing w:line="65" w:lineRule="atLeast"/>
        <w:tabs>
          <w:tab w:val="left" w:pos="284" w:leader="none"/>
          <w:tab w:val="left" w:pos="924" w:leader="none"/>
        </w:tabs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1.1. Термины и определения, указанные в Договоре, подлежат толкованию согласно </w:t>
      </w:r>
      <w:r>
        <w:rPr>
          <w:rFonts w:ascii="Times New Roman" w:hAnsi="Times New Roman" w:eastAsia="Times New Roman" w:cs="Times New Roman"/>
          <w:color w:val="000000"/>
          <w:spacing w:val="-4"/>
          <w:sz w:val="20"/>
          <w:szCs w:val="20"/>
        </w:rPr>
        <w:t xml:space="preserve">Гражданскому кодексу Российской Федерации, Федеральному закону  </w:t>
      </w:r>
      <w:r>
        <w:rPr>
          <w:rFonts w:ascii="Times New Roman" w:hAnsi="Times New Roman" w:eastAsia="Times New Roman" w:cs="Times New Roman"/>
          <w:color w:val="000000"/>
          <w:spacing w:val="-6"/>
          <w:sz w:val="20"/>
          <w:szCs w:val="20"/>
        </w:rPr>
        <w:t xml:space="preserve">«О газоснабжении в Российской Федерации</w:t>
      </w:r>
      <w:r>
        <w:rPr>
          <w:rFonts w:ascii="Times New Roman" w:hAnsi="Times New Roman" w:eastAsia="Times New Roman" w:cs="Times New Roman"/>
          <w:color w:val="000000"/>
          <w:spacing w:val="-4"/>
          <w:sz w:val="20"/>
          <w:szCs w:val="20"/>
        </w:rPr>
        <w:t xml:space="preserve">» от 31.03.1999 № 69-ФЗ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,  Правилам поставки газа в Российской Федерации, утвержденным постановлением Правительства РФ от 05.02.1998 № 162 (далее – Правила поставки газа), «Правилам  недискриминационного  доступа организаций к местным газораспределительным сетям», утверждённым по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становлением Правительства Российской Федерации от 31 мая 2025г. № 812,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постановлению Правительства Российской Федерации от 29.12.2000 № 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тва, и газопроводов, предназначенных для транспортировки газа от месторождений природного газа до магистрального газопровода», Правилам учёта газа, утверждённым приказом Минэнерго России от 30.12.2013 № 961 и зарегистрированным в Минюсте РФ 30.04.2014 № 32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168, Правилам ограничения подачи (поставки) и отбора газа, утверждённым постановлением Правительства Российской Федерации от 30.05.2025 № 804 (далее - Правила ограничения подачи (поставки) и отбора газа), ГОСТам и иным нормативным правовым актам в сфере га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зоснабжения или нормативным актам, принятым взамен указанных, либо их изменяющим.</w:t>
      </w:r>
      <w:r>
        <w:rPr>
          <w:sz w:val="20"/>
          <w:szCs w:val="20"/>
        </w:rPr>
      </w:r>
    </w:p>
    <w:p>
      <w:pPr>
        <w:ind w:left="0" w:right="0" w:firstLine="0"/>
        <w:jc w:val="both"/>
        <w:spacing w:line="65" w:lineRule="atLeast"/>
        <w:tabs>
          <w:tab w:val="left" w:pos="284" w:leader="none"/>
          <w:tab w:val="left" w:pos="924" w:leader="none"/>
        </w:tabs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ab/>
        <w:t xml:space="preserve">     «Потребитель» - лицо, приобретающее газ у Поставщика для собственных бытовых нужд, а также собственных производственных или иных хозяйственных нужд (за исключением населения). </w:t>
      </w:r>
      <w:r>
        <w:rPr>
          <w:sz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Style w:val="785"/>
        <w:ind w:left="0" w:firstLine="567"/>
        <w:spacing w:line="276" w:lineRule="auto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«Точка подключения» </w:t>
      </w:r>
      <w:r>
        <w:rPr>
          <w:sz w:val="20"/>
        </w:rPr>
        <w:t xml:space="preserve">– место соединения газопровода Потребителя с газопроводом сети газораспределения</w:t>
      </w:r>
      <w:r>
        <w:rPr>
          <w:sz w:val="20"/>
        </w:rPr>
        <w:t xml:space="preserve">,</w:t>
      </w:r>
      <w:r>
        <w:rPr>
          <w:sz w:val="20"/>
        </w:rPr>
        <w:t xml:space="preserve"> которая</w:t>
      </w:r>
      <w:r>
        <w:rPr>
          <w:sz w:val="20"/>
        </w:rPr>
        <w:t xml:space="preserve"> находятся у газораспределительной организации в собственности или на иных законных основаниях</w:t>
      </w:r>
      <w:r>
        <w:rPr>
          <w:sz w:val="20"/>
        </w:rPr>
        <w:t xml:space="preserve">, или сетью газопотребления и/или газораспределения основного абонента (третьего лица).</w:t>
      </w:r>
      <w:r>
        <w:rPr>
          <w:sz w:val="20"/>
        </w:rPr>
      </w:r>
    </w:p>
    <w:p>
      <w:pPr>
        <w:pStyle w:val="785"/>
        <w:ind w:left="0" w:firstLine="567"/>
        <w:spacing w:line="276" w:lineRule="auto"/>
        <w:rPr>
          <w:b/>
        </w:rPr>
      </w:pPr>
      <w:r>
        <w:rPr>
          <w:b/>
        </w:rPr>
        <w:t xml:space="preserve"> </w:t>
      </w:r>
      <w:r>
        <w:rPr>
          <w:b/>
        </w:rPr>
      </w:r>
    </w:p>
    <w:p>
      <w:pPr>
        <w:pStyle w:val="785"/>
        <w:numPr>
          <w:ilvl w:val="0"/>
          <w:numId w:val="23"/>
        </w:numPr>
        <w:jc w:val="center"/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  <w:t xml:space="preserve">Предмет Договора</w:t>
      </w:r>
      <w:r>
        <w:rPr>
          <w:b/>
          <w:bCs/>
          <w:sz w:val="20"/>
        </w:rPr>
      </w:r>
    </w:p>
    <w:p>
      <w:pPr>
        <w:pStyle w:val="785"/>
        <w:ind w:left="720"/>
        <w:spacing w:line="276" w:lineRule="auto"/>
        <w:rPr>
          <w:b/>
          <w:bCs/>
          <w:sz w:val="20"/>
        </w:rPr>
      </w:pPr>
      <w:r>
        <w:rPr>
          <w:b/>
          <w:bCs/>
          <w:sz w:val="20"/>
        </w:rPr>
      </w:r>
      <w:r>
        <w:rPr>
          <w:b/>
          <w:bCs/>
          <w:sz w:val="20"/>
        </w:rPr>
      </w:r>
    </w:p>
    <w:p>
      <w:pPr>
        <w:ind w:firstLine="567"/>
        <w:jc w:val="both"/>
        <w:spacing w:line="276" w:lineRule="auto"/>
        <w:widowControl w:val="off"/>
        <w:tabs>
          <w:tab w:val="left" w:pos="1440" w:leader="none"/>
          <w:tab w:val="left" w:pos="1620" w:leader="none"/>
          <w:tab w:val="num" w:pos="1875" w:leader="none"/>
        </w:tabs>
      </w:pPr>
      <w:r>
        <w:t xml:space="preserve">2.1. ГРО принимает на себя обязательство </w:t>
      </w:r>
      <w:r>
        <w:t xml:space="preserve">с </w:t>
      </w:r>
      <w:r>
        <w:t xml:space="preserve">______г. по______</w:t>
      </w:r>
      <w:r>
        <w:t xml:space="preserve">г. оказывать Потребителю услуги по транспортировке газа по газораспределительным сетям, находящимся в ведении ГРО</w:t>
      </w:r>
      <w:r>
        <w:t xml:space="preserve"> на правах собственности или иных законных основаниях</w:t>
      </w:r>
      <w:r>
        <w:t xml:space="preserve">, во исполнение Договора поставки газа </w:t>
      </w:r>
      <w:r>
        <w:t xml:space="preserve">№ </w:t>
      </w:r>
      <w:r>
        <w:rPr>
          <w:b/>
        </w:rPr>
        <w:t xml:space="preserve">_____</w:t>
      </w:r>
      <w:r>
        <w:rPr>
          <w:b/>
        </w:rPr>
        <w:t xml:space="preserve">,</w:t>
      </w:r>
      <w:r>
        <w:rPr>
          <w:b/>
        </w:rPr>
        <w:t xml:space="preserve"> </w:t>
      </w:r>
      <w:r>
        <w:t xml:space="preserve">заключенного между Поставщиком (</w:t>
      </w:r>
      <w:r>
        <w:t xml:space="preserve">________</w:t>
      </w:r>
      <w:r>
        <w:t xml:space="preserve">)</w:t>
      </w:r>
      <w:r>
        <w:t xml:space="preserve"> и Потребителем (</w:t>
      </w:r>
      <w:r>
        <w:t xml:space="preserve">_________</w:t>
      </w:r>
      <w:r>
        <w:t xml:space="preserve">), </w:t>
      </w:r>
      <w:r>
        <w:t xml:space="preserve">от </w:t>
      </w:r>
      <w:r>
        <w:t xml:space="preserve">ГРС</w:t>
      </w:r>
      <w:r>
        <w:t xml:space="preserve"> </w:t>
      </w:r>
      <w:r>
        <w:t xml:space="preserve">_______</w:t>
      </w:r>
      <w:r>
        <w:t xml:space="preserve"> до границы раздела г</w:t>
      </w:r>
      <w:r>
        <w:t xml:space="preserve">азораспределительных сетей ГРО </w:t>
      </w:r>
      <w:r>
        <w:t xml:space="preserve">с газораспределительными сетями, принадлежащими Потребителю  или иному третьему лицу на правах собственности или иных законных основаниях, через которые Потребитель производит отбор газа в рамках Договора поставки, в согласованных объемах</w:t>
      </w:r>
      <w:r>
        <w:t xml:space="preserve">, а Потребитель обязуется оплачивать вышеуказанные услуги в соответствии с условиями  Договора.</w:t>
      </w:r>
      <w:r/>
    </w:p>
    <w:p>
      <w:pPr>
        <w:ind w:firstLine="567"/>
        <w:jc w:val="both"/>
        <w:spacing w:line="276" w:lineRule="auto"/>
        <w:widowControl w:val="off"/>
        <w:tabs>
          <w:tab w:val="left" w:pos="1440" w:leader="none"/>
          <w:tab w:val="left" w:pos="1620" w:leader="none"/>
          <w:tab w:val="num" w:pos="1875" w:leader="none"/>
        </w:tabs>
      </w:pPr>
      <w:r>
        <w:t xml:space="preserve">2.2.</w:t>
      </w:r>
      <w:r>
        <w:t xml:space="preserve"> </w:t>
      </w:r>
      <w:r>
        <w:t xml:space="preserve">Ежегодный объем транспортировки</w:t>
      </w:r>
      <w:r>
        <w:t xml:space="preserve"> газа </w:t>
      </w:r>
      <w:r>
        <w:t xml:space="preserve">с</w:t>
      </w:r>
      <w:r>
        <w:t xml:space="preserve"> </w:t>
      </w:r>
      <w:r>
        <w:t xml:space="preserve">_______</w:t>
      </w:r>
      <w:r>
        <w:t xml:space="preserve"> г. по </w:t>
      </w:r>
      <w:r>
        <w:t xml:space="preserve">______</w:t>
      </w:r>
      <w:r>
        <w:t xml:space="preserve"> г. составляет </w:t>
      </w:r>
      <w:r>
        <w:t xml:space="preserve">____</w:t>
      </w:r>
      <w:r>
        <w:t xml:space="preserve"> </w:t>
      </w:r>
      <w:r>
        <w:t xml:space="preserve">млн</w:t>
      </w:r>
      <w:r>
        <w:t xml:space="preserve">.куб.</w:t>
      </w:r>
      <w:r>
        <w:t xml:space="preserve">м.</w:t>
      </w:r>
      <w:r/>
    </w:p>
    <w:p>
      <w:pPr>
        <w:ind w:firstLine="567"/>
        <w:jc w:val="both"/>
        <w:spacing w:line="276" w:lineRule="auto"/>
        <w:widowControl w:val="off"/>
        <w:tabs>
          <w:tab w:val="left" w:pos="1440" w:leader="none"/>
          <w:tab w:val="left" w:pos="1620" w:leader="none"/>
          <w:tab w:val="num" w:pos="1875" w:leader="none"/>
        </w:tabs>
      </w:pPr>
      <w:r>
        <w:t xml:space="preserve">Квартальный объем транспортируемого газа составляет (млн.куб.м.)                                          таблица 1</w:t>
      </w:r>
      <w:r>
        <w:t xml:space="preserve"> </w:t>
      </w:r>
      <w:r/>
    </w:p>
    <w:tbl>
      <w:tblPr>
        <w:tblW w:w="10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038"/>
        <w:gridCol w:w="2023"/>
        <w:gridCol w:w="2026"/>
        <w:gridCol w:w="1653"/>
      </w:tblGrid>
      <w:tr>
        <w:tblPrEx/>
        <w:trPr/>
        <w:tc>
          <w:tcPr>
            <w:tcW w:w="2448" w:type="dxa"/>
            <w:vAlign w:val="center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Наименование объекта/точки подключения газоснабжения и его местонахождение</w:t>
            </w:r>
            <w:r>
              <w:rPr>
                <w:sz w:val="14"/>
                <w:szCs w:val="14"/>
              </w:rPr>
            </w:r>
          </w:p>
        </w:tc>
        <w:tc>
          <w:tcPr>
            <w:tcW w:w="2038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1-й квартал</w:t>
            </w:r>
            <w:r>
              <w:rPr>
                <w:sz w:val="16"/>
                <w:szCs w:val="16"/>
              </w:rPr>
            </w:r>
          </w:p>
        </w:tc>
        <w:tc>
          <w:tcPr>
            <w:tcW w:w="202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2-ой квартал</w:t>
            </w:r>
            <w:r>
              <w:rPr>
                <w:sz w:val="16"/>
                <w:szCs w:val="16"/>
              </w:rPr>
            </w:r>
          </w:p>
        </w:tc>
        <w:tc>
          <w:tcPr>
            <w:tcW w:w="2026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3-й квартал</w:t>
            </w:r>
            <w:r>
              <w:rPr>
                <w:sz w:val="16"/>
                <w:szCs w:val="16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4-й квартал</w:t>
            </w:r>
            <w:r>
              <w:rPr>
                <w:sz w:val="16"/>
                <w:szCs w:val="16"/>
              </w:rPr>
            </w:r>
          </w:p>
        </w:tc>
      </w:tr>
      <w:tr>
        <w:tblPrEx/>
        <w:trPr/>
        <w:tc>
          <w:tcPr>
            <w:tcW w:w="2448" w:type="dxa"/>
            <w:textDirection w:val="lrTb"/>
            <w:noWrap w:val="false"/>
          </w:tcPr>
          <w:p>
            <w:pPr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  <w:p>
            <w:pPr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2038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</w:pPr>
            <w:r/>
            <w:r/>
          </w:p>
        </w:tc>
        <w:tc>
          <w:tcPr>
            <w:tcW w:w="202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highlight w:val="red"/>
              </w:rPr>
            </w:pPr>
            <w:r>
              <w:rPr>
                <w:highlight w:val="red"/>
              </w:rPr>
            </w:r>
            <w:r>
              <w:rPr>
                <w:highlight w:val="red"/>
              </w:rPr>
            </w:r>
          </w:p>
        </w:tc>
        <w:tc>
          <w:tcPr>
            <w:tcW w:w="2026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</w:pPr>
            <w:r/>
            <w:r/>
          </w:p>
        </w:tc>
        <w:tc>
          <w:tcPr>
            <w:tcW w:w="165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</w:pPr>
            <w:r/>
            <w:r/>
          </w:p>
        </w:tc>
      </w:tr>
    </w:tbl>
    <w:p>
      <w:pPr>
        <w:ind w:firstLine="567"/>
        <w:jc w:val="both"/>
        <w:spacing w:line="276" w:lineRule="auto"/>
        <w:widowControl w:val="off"/>
        <w:tabs>
          <w:tab w:val="left" w:pos="1440" w:leader="none"/>
          <w:tab w:val="left" w:pos="1620" w:leader="none"/>
          <w:tab w:val="num" w:pos="1875" w:leader="none"/>
          <w:tab w:val="left" w:pos="5940" w:leader="none"/>
          <w:tab w:val="left" w:pos="8460" w:leader="none"/>
        </w:tabs>
      </w:pPr>
      <w:r>
        <w:t xml:space="preserve">Месячный объем транспортируемого газа составляет (млн.куб.м.)                                                таблица 2</w:t>
      </w:r>
      <w:r/>
    </w:p>
    <w:tbl>
      <w:tblPr>
        <w:tblW w:w="10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675"/>
      </w:tblGrid>
      <w:tr>
        <w:tblPrEx/>
        <w:trPr>
          <w:cantSplit/>
          <w:trHeight w:val="892"/>
        </w:trPr>
        <w:tc>
          <w:tcPr>
            <w:tcW w:w="1668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Наименование объекта/точки подключения газоснабжения и его местонахождение</w:t>
            </w:r>
            <w:r>
              <w:rPr>
                <w:sz w:val="14"/>
                <w:szCs w:val="14"/>
              </w:rPr>
            </w:r>
          </w:p>
        </w:tc>
        <w:tc>
          <w:tcPr>
            <w:tcW w:w="708" w:type="dxa"/>
            <w:vAlign w:val="center"/>
            <w:textDirection w:val="btLr"/>
            <w:noWrap w:val="false"/>
          </w:tcPr>
          <w:p>
            <w:pPr>
              <w:ind w:left="113" w:right="113"/>
              <w:jc w:val="both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январь</w:t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btLr"/>
            <w:noWrap w:val="false"/>
          </w:tcPr>
          <w:p>
            <w:pPr>
              <w:ind w:left="113" w:right="113"/>
              <w:jc w:val="both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февраль</w:t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btLr"/>
            <w:noWrap w:val="false"/>
          </w:tcPr>
          <w:p>
            <w:pPr>
              <w:ind w:left="113" w:right="113"/>
              <w:jc w:val="both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март</w:t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btLr"/>
            <w:noWrap w:val="false"/>
          </w:tcPr>
          <w:p>
            <w:pPr>
              <w:ind w:left="113" w:right="113"/>
              <w:jc w:val="both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апрель</w:t>
            </w:r>
            <w:r>
              <w:rPr>
                <w:sz w:val="16"/>
                <w:szCs w:val="16"/>
              </w:rPr>
            </w:r>
          </w:p>
        </w:tc>
        <w:tc>
          <w:tcPr>
            <w:tcW w:w="708" w:type="dxa"/>
            <w:vAlign w:val="center"/>
            <w:textDirection w:val="btLr"/>
            <w:noWrap w:val="false"/>
          </w:tcPr>
          <w:p>
            <w:pPr>
              <w:ind w:left="113" w:right="113"/>
              <w:jc w:val="both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май</w:t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btLr"/>
            <w:noWrap w:val="false"/>
          </w:tcPr>
          <w:p>
            <w:pPr>
              <w:ind w:left="113" w:right="113"/>
              <w:jc w:val="both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июнь</w:t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btLr"/>
            <w:noWrap w:val="false"/>
          </w:tcPr>
          <w:p>
            <w:pPr>
              <w:ind w:left="113" w:right="113"/>
              <w:jc w:val="both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июль</w:t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btLr"/>
            <w:noWrap w:val="false"/>
          </w:tcPr>
          <w:p>
            <w:pPr>
              <w:ind w:left="113" w:right="113"/>
              <w:jc w:val="both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август</w:t>
            </w:r>
            <w:r>
              <w:rPr>
                <w:sz w:val="16"/>
                <w:szCs w:val="16"/>
              </w:rPr>
            </w:r>
          </w:p>
        </w:tc>
        <w:tc>
          <w:tcPr>
            <w:tcW w:w="708" w:type="dxa"/>
            <w:vAlign w:val="center"/>
            <w:textDirection w:val="btLr"/>
            <w:noWrap w:val="false"/>
          </w:tcPr>
          <w:p>
            <w:pPr>
              <w:ind w:left="113" w:right="113"/>
              <w:jc w:val="both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</w:t>
            </w:r>
            <w:r>
              <w:rPr>
                <w:sz w:val="16"/>
                <w:szCs w:val="16"/>
              </w:rPr>
              <w:t xml:space="preserve">ентябрь</w:t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btLr"/>
            <w:noWrap w:val="false"/>
          </w:tcPr>
          <w:p>
            <w:pPr>
              <w:ind w:left="113" w:right="113"/>
              <w:jc w:val="both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октябрь.</w:t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btLr"/>
            <w:noWrap w:val="false"/>
          </w:tcPr>
          <w:p>
            <w:pPr>
              <w:ind w:left="113" w:right="113"/>
              <w:jc w:val="both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ноябрь</w:t>
            </w:r>
            <w:r>
              <w:rPr>
                <w:sz w:val="16"/>
                <w:szCs w:val="16"/>
              </w:rPr>
            </w:r>
          </w:p>
        </w:tc>
        <w:tc>
          <w:tcPr>
            <w:tcW w:w="675" w:type="dxa"/>
            <w:vAlign w:val="center"/>
            <w:textDirection w:val="btLr"/>
            <w:noWrap w:val="false"/>
          </w:tcPr>
          <w:p>
            <w:pPr>
              <w:ind w:left="113" w:right="113"/>
              <w:jc w:val="both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декабрь</w:t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cantSplit/>
          <w:trHeight w:val="864"/>
        </w:trPr>
        <w:tc>
          <w:tcPr>
            <w:tcW w:w="1668" w:type="dxa"/>
            <w:textDirection w:val="lrTb"/>
            <w:noWrap w:val="false"/>
          </w:tcPr>
          <w:p>
            <w:pPr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ind w:firstLine="567"/>
        <w:jc w:val="both"/>
      </w:pPr>
      <w:r>
        <w:t xml:space="preserve">С</w:t>
      </w:r>
      <w:r>
        <w:t xml:space="preserve">реднесуточный договорный объем транспортировки газа</w:t>
      </w:r>
      <w:r>
        <w:t xml:space="preserve"> определяется путем деления месячного договорно</w:t>
      </w:r>
      <w:r>
        <w:t xml:space="preserve">г</w:t>
      </w:r>
      <w:r>
        <w:t xml:space="preserve">о объема на количество дней соответс</w:t>
      </w:r>
      <w:r>
        <w:t xml:space="preserve">т</w:t>
      </w:r>
      <w:r>
        <w:t xml:space="preserve">вующего ме</w:t>
      </w:r>
      <w:r>
        <w:t xml:space="preserve">ся</w:t>
      </w:r>
      <w:r>
        <w:t xml:space="preserve">ца транспортировки газа.</w:t>
      </w:r>
      <w:r>
        <w:t xml:space="preserve"> </w:t>
      </w:r>
      <w:r>
        <w:t xml:space="preserve">Допускается неравномерность транспортировки газа по суткам, при этом максимальный суточный объем не должен быть более чем н</w:t>
      </w:r>
      <w:r>
        <w:t xml:space="preserve">а 10% выше среднесуточной нормы</w:t>
      </w:r>
      <w:r>
        <w:t xml:space="preserve">, а при необходимости – по согласованному между Сторонами (включая Поставщика) диспетчерскому графику.</w:t>
      </w:r>
      <w:r/>
    </w:p>
    <w:p>
      <w:pPr>
        <w:ind w:firstLine="567"/>
        <w:jc w:val="both"/>
      </w:pPr>
      <w:r>
        <w:t xml:space="preserve">В случае предоставления Потребителем согласованного с Поставщиком диспетчерского графика неравномерности суточного газопотребления, суточный объем транспортировки газа принимается равным объемам, указанным в диспетчерском графике на соответствующую дату. </w:t>
      </w:r>
      <w:r/>
    </w:p>
    <w:p>
      <w:pPr>
        <w:ind w:firstLine="567"/>
        <w:jc w:val="both"/>
      </w:pPr>
      <w:r>
        <w:t xml:space="preserve">Потребитель вправе до начала месяца транспортировки газа уточнить договорные объемы транспортируемого газа, при</w:t>
      </w:r>
      <w:r>
        <w:t xml:space="preserve"> этом последние изменяются на основании и в соответствии с заявкой Потребителя,</w:t>
      </w:r>
      <w:r>
        <w:t xml:space="preserve">  </w:t>
      </w:r>
      <w:r>
        <w:t xml:space="preserve">предоставленной в адрес ГРО не позднее </w:t>
      </w:r>
      <w:r>
        <w:t xml:space="preserve">чем за 3(три) рабочих дня</w:t>
      </w:r>
      <w:r>
        <w:t xml:space="preserve"> д</w:t>
      </w:r>
      <w:r>
        <w:t xml:space="preserve">о начала месяца транспортировки с предоставлением документов, подтверждающих согласование новых объемов поставки газа Поставщиком в установленном в Договоре поставке порядке.</w:t>
      </w:r>
      <w:r>
        <w:t xml:space="preserve"> Последняя </w:t>
      </w:r>
      <w:r>
        <w:t xml:space="preserve">из поданных в установленный срок заявок Потребителя устанавливает (фиксирует) договорный объем транспортируемого газа на указанный в ней месяц транспортировки, при этом положения п.8.3. настоящего Договора не применяются.</w:t>
      </w:r>
      <w:r/>
    </w:p>
    <w:p>
      <w:pPr>
        <w:jc w:val="both"/>
        <w:spacing w:line="276" w:lineRule="auto"/>
        <w:widowControl w:val="off"/>
        <w:tabs>
          <w:tab w:val="left" w:pos="567" w:leader="none"/>
          <w:tab w:val="left" w:pos="1620" w:leader="none"/>
          <w:tab w:val="num" w:pos="1875" w:leader="none"/>
        </w:tabs>
      </w:pPr>
      <w:r>
        <w:rPr>
          <w:lang w:val="en-US"/>
        </w:rPr>
        <w:tab/>
      </w:r>
      <w:r>
        <w:t xml:space="preserve">Заявки Потребителя на изменение объемов транспортировки газа </w:t>
      </w:r>
      <w:r>
        <w:t xml:space="preserve">направляются </w:t>
      </w:r>
      <w:r>
        <w:t xml:space="preserve">в формате </w:t>
      </w:r>
      <w:r>
        <w:rPr>
          <w:lang w:val="en-US"/>
        </w:rPr>
        <w:t xml:space="preserve">pdf</w:t>
      </w:r>
      <w:r>
        <w:t xml:space="preserve"> </w:t>
      </w:r>
      <w:r>
        <w:t xml:space="preserve">по адресу электронной почты </w:t>
      </w:r>
      <w:hyperlink r:id="rId15" w:tooltip="mailto:efp@gorgaz.ryazan.ru" w:history="1">
        <w:r>
          <w:rPr>
            <w:rStyle w:val="805"/>
          </w:rPr>
          <w:t xml:space="preserve">___________</w:t>
        </w:r>
      </w:hyperlink>
      <w:r>
        <w:t xml:space="preserve"> </w:t>
      </w:r>
      <w:r>
        <w:t xml:space="preserve">в сроки определенные Договором.</w:t>
      </w:r>
      <w:r>
        <w:t xml:space="preserve"> </w:t>
      </w:r>
      <w:r/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</w:t>
      </w:r>
      <w:r>
        <w:rPr>
          <w:rFonts w:ascii="Times New Roman" w:hAnsi="Times New Roman"/>
          <w:bCs/>
        </w:rPr>
        <w:t xml:space="preserve">3</w:t>
      </w:r>
      <w:r>
        <w:rPr>
          <w:rFonts w:ascii="Times New Roman" w:hAnsi="Times New Roman"/>
          <w:bCs/>
        </w:rPr>
        <w:t xml:space="preserve">. При перерасходе газа без предварительного согласования с ГРО Потребитель оплачивает дополнительно стоимость транспортировки объема газа, отобранного им сверх </w:t>
      </w:r>
      <w:r>
        <w:rPr>
          <w:rFonts w:ascii="Times New Roman" w:hAnsi="Times New Roman"/>
          <w:bCs/>
        </w:rPr>
        <w:t xml:space="preserve">объема, </w:t>
      </w:r>
      <w:r>
        <w:rPr>
          <w:rFonts w:ascii="Times New Roman" w:hAnsi="Times New Roman"/>
          <w:bCs/>
        </w:rPr>
        <w:t xml:space="preserve">установленн</w:t>
      </w:r>
      <w:r>
        <w:rPr>
          <w:rFonts w:ascii="Times New Roman" w:hAnsi="Times New Roman"/>
          <w:bCs/>
        </w:rPr>
        <w:t xml:space="preserve">ого</w:t>
      </w:r>
      <w:r>
        <w:rPr>
          <w:rFonts w:ascii="Times New Roman" w:hAnsi="Times New Roman"/>
          <w:bCs/>
        </w:rPr>
        <w:t xml:space="preserve"> договором за каждые сутки</w:t>
      </w:r>
      <w:r>
        <w:rPr>
          <w:rFonts w:ascii="Times New Roman" w:hAnsi="Times New Roman"/>
          <w:bCs/>
        </w:rPr>
        <w:t xml:space="preserve">,</w:t>
      </w:r>
      <w:r>
        <w:rPr>
          <w:rFonts w:ascii="Times New Roman" w:hAnsi="Times New Roman"/>
          <w:bCs/>
        </w:rPr>
        <w:t xml:space="preserve"> с применением коэффициента:</w:t>
      </w:r>
      <w:r>
        <w:rPr>
          <w:rFonts w:ascii="Times New Roman" w:hAnsi="Times New Roman"/>
          <w:bCs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в период с 15 апреля по 15 сентября применяется коэффициент 1,1;</w:t>
      </w:r>
      <w:r>
        <w:rPr>
          <w:rFonts w:ascii="Times New Roman" w:hAnsi="Times New Roman"/>
          <w:bCs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в период с 16 сентября по 14 апреля применяется коэффициент 1,5.</w:t>
      </w:r>
      <w:r>
        <w:rPr>
          <w:rFonts w:ascii="Times New Roman" w:hAnsi="Times New Roman"/>
          <w:bCs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2.</w:t>
      </w: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 Периодом</w:t>
      </w:r>
      <w:r>
        <w:rPr>
          <w:rFonts w:ascii="Times New Roman" w:hAnsi="Times New Roman"/>
        </w:rPr>
        <w:t xml:space="preserve">/месяцем</w:t>
      </w:r>
      <w:r>
        <w:rPr>
          <w:rFonts w:ascii="Times New Roman" w:hAnsi="Times New Roman"/>
        </w:rPr>
        <w:t xml:space="preserve"> транспортировки газа, отчетным и платежным периодами</w:t>
      </w:r>
      <w:r>
        <w:rPr>
          <w:rFonts w:ascii="Times New Roman" w:hAnsi="Times New Roman"/>
        </w:rPr>
        <w:t xml:space="preserve">/месяцами</w:t>
      </w:r>
      <w:r>
        <w:rPr>
          <w:rFonts w:ascii="Times New Roman" w:hAnsi="Times New Roman"/>
        </w:rPr>
        <w:t xml:space="preserve"> по настоящему Договору устанавливается календарный месяц.</w:t>
      </w:r>
      <w:r>
        <w:rPr>
          <w:rFonts w:ascii="Times New Roman" w:hAnsi="Times New Roman"/>
          <w:bCs/>
        </w:rPr>
      </w:r>
    </w:p>
    <w:p>
      <w:pPr>
        <w:pStyle w:val="798"/>
        <w:jc w:val="center"/>
        <w:spacing w:line="276" w:lineRule="auto"/>
        <w:widowControl w:val="off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98"/>
        <w:jc w:val="center"/>
        <w:spacing w:line="276" w:lineRule="auto"/>
        <w:widowControl w:val="off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3. Порядок учета газа.</w:t>
      </w:r>
      <w:r>
        <w:rPr>
          <w:rFonts w:ascii="Times New Roman" w:hAnsi="Times New Roman"/>
          <w:b/>
          <w:bCs/>
        </w:rPr>
      </w:r>
    </w:p>
    <w:p>
      <w:pPr>
        <w:pStyle w:val="798"/>
        <w:jc w:val="center"/>
        <w:spacing w:line="276" w:lineRule="auto"/>
        <w:widowControl w:val="off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3.1. Учет газа производится   в соответствии с требованиями «Правил учета газа», </w:t>
      </w:r>
      <w:r>
        <w:rPr>
          <w:rFonts w:ascii="Times New Roman" w:hAnsi="Times New Roman"/>
        </w:rPr>
        <w:t xml:space="preserve">утверждёнными приказом Минэнерго России 30.12.2013 № 961,</w:t>
      </w:r>
      <w:r>
        <w:rPr>
          <w:rFonts w:ascii="Times New Roman" w:hAnsi="Times New Roman"/>
          <w:bCs/>
        </w:rPr>
        <w:t xml:space="preserve"> Правил поставки газа и других действующих стандартов и нормативных документов РФ в области учета и метрологии.</w:t>
      </w:r>
      <w:r>
        <w:rPr>
          <w:rFonts w:ascii="Times New Roman" w:hAnsi="Times New Roman"/>
          <w:bCs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bCs/>
        </w:rPr>
        <w:t xml:space="preserve">Количество  транспортируемого газа (объем) определяется </w:t>
      </w:r>
      <w:r>
        <w:rPr>
          <w:rFonts w:ascii="Times New Roman" w:hAnsi="Times New Roman"/>
          <w:bCs/>
        </w:rPr>
        <w:t xml:space="preserve">средствами измерений и (или) техническими системами  и устройствами  с измерительными функциями</w:t>
      </w:r>
      <w:r>
        <w:rPr>
          <w:rFonts w:ascii="Times New Roman" w:hAnsi="Times New Roman"/>
          <w:bCs/>
        </w:rPr>
        <w:t xml:space="preserve">, установленных на узле учета газа </w:t>
      </w:r>
      <w:r>
        <w:rPr>
          <w:rFonts w:ascii="Times New Roman" w:hAnsi="Times New Roman"/>
          <w:bCs/>
        </w:rPr>
        <w:t xml:space="preserve">_____</w:t>
      </w:r>
      <w:r>
        <w:rPr>
          <w:rFonts w:ascii="Times New Roman" w:hAnsi="Times New Roman"/>
          <w:bCs/>
        </w:rPr>
        <w:t xml:space="preserve">, расположенном на объекте газопотребления Потребителя, при несоответствии их требованиям нормативных правовых актов, технической документации, стандартов и правил, а </w:t>
      </w:r>
      <w:r>
        <w:rPr>
          <w:rFonts w:ascii="Times New Roman" w:hAnsi="Times New Roman"/>
          <w:bCs/>
        </w:rPr>
        <w:t xml:space="preserve">также при выявлении несанкционированных вмешательств в их работу, которые могут привести к искажениям результатов измерений, количество транспортируемого газа (объем) определяется по показаниям приборов учета, установленных на узлах учета газа Потребителя.</w:t>
      </w:r>
      <w:r>
        <w:rPr>
          <w:rFonts w:ascii="Times New Roman" w:hAnsi="Times New Roman"/>
          <w:b/>
          <w:bCs/>
          <w:color w:val="ff0000"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При отсутствии или неисправности узлов учета газа Потребителя, а также при несоответствии их требованиям нормативных правовых актов, технической документации, стандартов и правил количество </w:t>
      </w:r>
      <w:r>
        <w:rPr>
          <w:rFonts w:ascii="Times New Roman" w:hAnsi="Times New Roman"/>
          <w:bCs/>
        </w:rPr>
        <w:t xml:space="preserve">поставленного газа определяется исходя из проектн</w:t>
      </w:r>
      <w:r>
        <w:rPr>
          <w:rFonts w:ascii="Times New Roman" w:hAnsi="Times New Roman"/>
          <w:bCs/>
        </w:rPr>
        <w:t xml:space="preserve">ой мощности неопломбированных газоиспользующих установок (оборудования), времени, в течение которого подавался газ в период отсутствия или неисправности узлов учета газа, либо применения узлов учета газа, не соответствующих требованиям нормативных правовых</w:t>
      </w:r>
      <w:r>
        <w:rPr>
          <w:rFonts w:ascii="Times New Roman" w:hAnsi="Times New Roman"/>
          <w:bCs/>
        </w:rPr>
        <w:t xml:space="preserve"> актов, технической документации, стандартов и правил. </w:t>
      </w:r>
      <w:r>
        <w:rPr>
          <w:rFonts w:ascii="Times New Roman" w:hAnsi="Times New Roman"/>
          <w:bCs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3.2. Распределение общего объема газа, отобранного Потребителем по всем действующим в отчетном периоде договорам поставки газа, со всеми Поставщиками, за каждые сутки и по каждому договору поставки, производит </w:t>
      </w:r>
      <w:r>
        <w:rPr>
          <w:rFonts w:ascii="Times New Roman" w:hAnsi="Times New Roman"/>
          <w:bCs/>
        </w:rPr>
        <w:t xml:space="preserve">_________</w:t>
      </w:r>
      <w:r>
        <w:rPr>
          <w:rFonts w:ascii="Times New Roman" w:hAnsi="Times New Roman"/>
          <w:bCs/>
        </w:rPr>
        <w:t xml:space="preserve"> на основании ежесуточных показаний приборов учета установленных на узле учета газа </w:t>
      </w:r>
      <w:r>
        <w:rPr>
          <w:rFonts w:ascii="Times New Roman" w:hAnsi="Times New Roman"/>
          <w:bCs/>
        </w:rPr>
        <w:t xml:space="preserve">_______</w:t>
      </w:r>
      <w:r>
        <w:rPr>
          <w:rFonts w:ascii="Times New Roman" w:hAnsi="Times New Roman"/>
          <w:bCs/>
        </w:rPr>
        <w:t xml:space="preserve"> либо  Потребителя в соответствии с п. 3.1. настоящего Договора.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При этом Стороны договорились, что по каждым суткам поставки по договору поставки газа, заключенного</w:t>
      </w:r>
      <w:r>
        <w:rPr>
          <w:rFonts w:ascii="Times New Roman" w:hAnsi="Times New Roman"/>
          <w:bCs/>
        </w:rPr>
        <w:t xml:space="preserve"> Потребите</w:t>
      </w:r>
      <w:r>
        <w:rPr>
          <w:rFonts w:ascii="Times New Roman" w:hAnsi="Times New Roman"/>
          <w:bCs/>
        </w:rPr>
        <w:t xml:space="preserve">лем с  </w:t>
      </w:r>
      <w:r>
        <w:rPr>
          <w:rFonts w:ascii="Times New Roman" w:hAnsi="Times New Roman"/>
          <w:bCs/>
        </w:rPr>
        <w:t xml:space="preserve">_______</w:t>
      </w:r>
      <w:r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______г.</w:t>
      </w:r>
      <w:r>
        <w:t xml:space="preserve">,</w:t>
      </w:r>
      <w:r>
        <w:rPr>
          <w:rFonts w:ascii="Times New Roman" w:hAnsi="Times New Roman"/>
          <w:bCs/>
        </w:rPr>
        <w:t xml:space="preserve"> Потребитель выбирает объем газа в размере среднесуточной</w:t>
      </w:r>
      <w:r>
        <w:rPr>
          <w:rFonts w:ascii="Times New Roman" w:hAnsi="Times New Roman"/>
          <w:bCs/>
        </w:rPr>
        <w:t xml:space="preserve"> (суточной)</w:t>
      </w:r>
      <w:r>
        <w:rPr>
          <w:rFonts w:ascii="Times New Roman" w:hAnsi="Times New Roman"/>
          <w:bCs/>
        </w:rPr>
        <w:t xml:space="preserve"> нормы, не выше определенной в пункте 2.2.</w:t>
      </w:r>
      <w:r>
        <w:rPr>
          <w:rFonts w:ascii="Times New Roman" w:hAnsi="Times New Roman"/>
          <w:bCs/>
        </w:rPr>
        <w:t xml:space="preserve"> настоящего </w:t>
      </w:r>
      <w:r>
        <w:rPr>
          <w:rFonts w:ascii="Times New Roman" w:hAnsi="Times New Roman"/>
          <w:bCs/>
        </w:rPr>
        <w:t xml:space="preserve">Договора, а разницу общего суточного объема по данным приборов учета</w:t>
      </w:r>
      <w:r>
        <w:rPr>
          <w:rFonts w:ascii="Times New Roman" w:hAnsi="Times New Roman"/>
          <w:bCs/>
        </w:rPr>
        <w:t xml:space="preserve"> РГК либо</w:t>
      </w:r>
      <w:r>
        <w:rPr>
          <w:rFonts w:ascii="Times New Roman" w:hAnsi="Times New Roman"/>
          <w:bCs/>
        </w:rPr>
        <w:t xml:space="preserve"> Потребителя и потребленного по договору </w:t>
      </w:r>
      <w:r>
        <w:rPr>
          <w:rFonts w:ascii="Times New Roman" w:hAnsi="Times New Roman"/>
          <w:bCs/>
        </w:rPr>
        <w:t xml:space="preserve">______</w:t>
      </w:r>
      <w:r>
        <w:rPr>
          <w:rFonts w:ascii="Times New Roman" w:hAnsi="Times New Roman"/>
          <w:bCs/>
        </w:rPr>
        <w:t xml:space="preserve">, Потребитель выбрал по договору (договорам) поставки газа, заключенн</w:t>
      </w:r>
      <w:r>
        <w:rPr>
          <w:rFonts w:ascii="Times New Roman" w:hAnsi="Times New Roman"/>
          <w:bCs/>
        </w:rPr>
        <w:t xml:space="preserve">ому</w:t>
      </w:r>
      <w:r>
        <w:rPr>
          <w:rFonts w:ascii="Times New Roman" w:hAnsi="Times New Roman"/>
          <w:bCs/>
        </w:rPr>
        <w:t xml:space="preserve"> (заключенны</w:t>
      </w:r>
      <w:r>
        <w:rPr>
          <w:rFonts w:ascii="Times New Roman" w:hAnsi="Times New Roman"/>
          <w:bCs/>
        </w:rPr>
        <w:t xml:space="preserve">м</w:t>
      </w:r>
      <w:r>
        <w:rPr>
          <w:rFonts w:ascii="Times New Roman" w:hAnsi="Times New Roman"/>
          <w:bCs/>
        </w:rPr>
        <w:t xml:space="preserve">) Потребителем с РГК, в соответствии с его (их) условиями.</w:t>
      </w:r>
      <w:r>
        <w:rPr>
          <w:rFonts w:ascii="Times New Roman" w:hAnsi="Times New Roman"/>
          <w:bCs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 xml:space="preserve">Коли</w:t>
      </w:r>
      <w:r>
        <w:rPr>
          <w:rFonts w:ascii="Times New Roman" w:hAnsi="Times New Roman"/>
          <w:bCs/>
        </w:rPr>
        <w:t xml:space="preserve">чество газа определяется в</w:t>
      </w:r>
      <w:r>
        <w:rPr>
          <w:rFonts w:ascii="Times New Roman" w:hAnsi="Times New Roman"/>
          <w:bCs/>
        </w:rPr>
        <w:t xml:space="preserve"> целых</w:t>
      </w:r>
      <w:r>
        <w:rPr>
          <w:rFonts w:ascii="Times New Roman" w:hAnsi="Times New Roman"/>
          <w:bCs/>
        </w:rPr>
        <w:t xml:space="preserve"> м3 (метрах кубических), приведенных к стандартным условиям в соответствии с </w:t>
      </w:r>
      <w:r>
        <w:rPr>
          <w:rFonts w:ascii="Times New Roman" w:hAnsi="Times New Roman"/>
          <w:bCs/>
        </w:rPr>
        <w:t xml:space="preserve">ГОСТ 2939-63.</w:t>
      </w:r>
      <w:r>
        <w:rPr>
          <w:rFonts w:ascii="Times New Roman" w:hAnsi="Times New Roman"/>
          <w:bCs/>
          <w:color w:val="ff0000"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3.3. По окончании каждого </w:t>
      </w:r>
      <w:r>
        <w:rPr>
          <w:rFonts w:ascii="Times New Roman" w:hAnsi="Times New Roman"/>
          <w:bCs/>
        </w:rPr>
        <w:t xml:space="preserve">календарного</w:t>
      </w:r>
      <w:r>
        <w:rPr>
          <w:rFonts w:ascii="Times New Roman" w:hAnsi="Times New Roman"/>
          <w:bCs/>
        </w:rPr>
        <w:t xml:space="preserve"> месяца Потребитель не позднее 3 числа месяца, следующего за отчетным </w:t>
      </w:r>
      <w:r>
        <w:rPr>
          <w:rFonts w:ascii="Times New Roman" w:hAnsi="Times New Roman"/>
          <w:bCs/>
        </w:rPr>
        <w:t xml:space="preserve">периодом</w:t>
      </w:r>
      <w:r>
        <w:rPr>
          <w:rFonts w:ascii="Times New Roman" w:hAnsi="Times New Roman"/>
          <w:bCs/>
        </w:rPr>
        <w:t xml:space="preserve">, сообщает ГРО данные о количестве </w:t>
      </w:r>
      <w:r>
        <w:rPr>
          <w:rFonts w:ascii="Times New Roman" w:hAnsi="Times New Roman"/>
          <w:bCs/>
        </w:rPr>
        <w:t xml:space="preserve">(объеме) транспортированного</w:t>
      </w:r>
      <w:r>
        <w:rPr>
          <w:rFonts w:ascii="Times New Roman" w:hAnsi="Times New Roman"/>
          <w:bCs/>
          <w:color w:val="ff0000"/>
        </w:rPr>
        <w:t xml:space="preserve"> </w:t>
      </w:r>
      <w:r>
        <w:rPr>
          <w:rFonts w:ascii="Times New Roman" w:hAnsi="Times New Roman"/>
          <w:bCs/>
        </w:rPr>
        <w:t xml:space="preserve">газа в рамках данного </w:t>
      </w:r>
      <w:r>
        <w:rPr>
          <w:rFonts w:ascii="Times New Roman" w:hAnsi="Times New Roman"/>
          <w:bCs/>
        </w:rPr>
        <w:t xml:space="preserve">Договора, согласованные с </w:t>
      </w:r>
      <w:r>
        <w:rPr>
          <w:rFonts w:ascii="Times New Roman" w:hAnsi="Times New Roman"/>
          <w:bCs/>
        </w:rPr>
        <w:t xml:space="preserve">РГК</w:t>
      </w:r>
      <w:r>
        <w:rPr>
          <w:rFonts w:ascii="Times New Roman" w:hAnsi="Times New Roman"/>
          <w:bCs/>
        </w:rPr>
        <w:t xml:space="preserve"> в письменном виде по форме </w:t>
      </w:r>
      <w:r>
        <w:rPr>
          <w:rFonts w:ascii="Times New Roman" w:hAnsi="Times New Roman"/>
          <w:bCs/>
        </w:rPr>
        <w:t xml:space="preserve">Приложения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№2 к Договору</w:t>
      </w:r>
      <w:r>
        <w:rPr>
          <w:rFonts w:ascii="Times New Roman" w:hAnsi="Times New Roman"/>
          <w:bCs/>
        </w:rPr>
        <w:t xml:space="preserve"> в</w:t>
      </w:r>
      <w:r>
        <w:rPr>
          <w:rFonts w:ascii="Times New Roman" w:hAnsi="Times New Roman"/>
          <w:bCs/>
        </w:rPr>
        <w:t xml:space="preserve"> формате </w:t>
      </w:r>
      <w:r>
        <w:rPr>
          <w:rFonts w:ascii="Times New Roman" w:hAnsi="Times New Roman"/>
          <w:bCs/>
          <w:lang w:val="en-US"/>
        </w:rPr>
        <w:t xml:space="preserve">pdf</w:t>
      </w:r>
      <w:r>
        <w:rPr>
          <w:rFonts w:ascii="Times New Roman" w:hAnsi="Times New Roman"/>
          <w:bCs/>
        </w:rPr>
        <w:t xml:space="preserve"> по адресу электронной почты </w:t>
      </w:r>
      <w:r>
        <w:rPr>
          <w:rFonts w:ascii="Times New Roman" w:hAnsi="Times New Roman"/>
          <w:bCs/>
        </w:rPr>
        <w:t xml:space="preserve">_______</w:t>
      </w:r>
      <w:r>
        <w:rPr>
          <w:rFonts w:ascii="Times New Roman" w:hAnsi="Times New Roman"/>
          <w:bCs/>
        </w:rPr>
        <w:t xml:space="preserve">. ГРО на основании полученных от Потребителя и согласованных с РГК данных </w:t>
      </w:r>
      <w:r>
        <w:rPr>
          <w:rFonts w:ascii="Times New Roman" w:hAnsi="Times New Roman"/>
          <w:bCs/>
        </w:rPr>
        <w:t xml:space="preserve">составляет двухсторонний Акт об оказании услуг по транспортировке газа с Потребителем по форме Приложения </w:t>
      </w:r>
      <w:r>
        <w:rPr>
          <w:rFonts w:ascii="Times New Roman" w:hAnsi="Times New Roman"/>
          <w:bCs/>
        </w:rPr>
        <w:t xml:space="preserve">№</w:t>
      </w:r>
      <w:r>
        <w:rPr>
          <w:rFonts w:ascii="Times New Roman" w:hAnsi="Times New Roman"/>
          <w:bCs/>
        </w:rPr>
        <w:t xml:space="preserve">1 к Договору.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</w:rPr>
        <w:t xml:space="preserve">3.4. Для подписания Акта об оказании услуг по транспортировке газа Потребитель должен явиться в ГРО </w:t>
      </w:r>
      <w:r>
        <w:rPr>
          <w:rFonts w:ascii="Times New Roman" w:hAnsi="Times New Roman"/>
          <w:bCs/>
        </w:rPr>
        <w:t xml:space="preserve">в течение </w:t>
      </w:r>
      <w:r>
        <w:rPr>
          <w:rFonts w:ascii="Times New Roman" w:hAnsi="Times New Roman"/>
          <w:bCs/>
        </w:rPr>
        <w:t xml:space="preserve">3</w:t>
      </w:r>
      <w:r>
        <w:rPr>
          <w:rFonts w:ascii="Times New Roman" w:hAnsi="Times New Roman"/>
          <w:bCs/>
        </w:rPr>
        <w:t xml:space="preserve"> рабочих дней </w:t>
      </w:r>
      <w:r>
        <w:rPr>
          <w:rFonts w:ascii="Times New Roman" w:hAnsi="Times New Roman"/>
          <w:bCs/>
        </w:rPr>
        <w:t xml:space="preserve">со дня </w:t>
      </w:r>
      <w:r>
        <w:rPr>
          <w:rFonts w:ascii="Times New Roman" w:hAnsi="Times New Roman"/>
          <w:bCs/>
        </w:rPr>
        <w:t xml:space="preserve">предоставления данных, предусмотренных п. 3.3 Договора</w:t>
      </w:r>
      <w:r>
        <w:rPr>
          <w:rFonts w:ascii="Times New Roman" w:hAnsi="Times New Roman"/>
          <w:bCs/>
        </w:rPr>
        <w:t xml:space="preserve">. Акт </w:t>
      </w:r>
      <w:r>
        <w:rPr>
          <w:rFonts w:ascii="Times New Roman" w:hAnsi="Times New Roman"/>
          <w:bCs/>
        </w:rPr>
        <w:t xml:space="preserve">об оказании услуг по транспортировке</w:t>
      </w:r>
      <w:r>
        <w:rPr>
          <w:rFonts w:ascii="Times New Roman" w:hAnsi="Times New Roman"/>
          <w:bCs/>
        </w:rPr>
        <w:t xml:space="preserve"> газа, подписанный со своей стороны и заверенный печатью организации, Потребитель </w:t>
      </w:r>
      <w:r>
        <w:rPr>
          <w:rFonts w:ascii="Times New Roman" w:hAnsi="Times New Roman"/>
          <w:bCs/>
        </w:rPr>
        <w:t xml:space="preserve">обязан возвра</w:t>
      </w:r>
      <w:r>
        <w:rPr>
          <w:rFonts w:ascii="Times New Roman" w:hAnsi="Times New Roman"/>
          <w:bCs/>
        </w:rPr>
        <w:t xml:space="preserve">т</w:t>
      </w:r>
      <w:r>
        <w:rPr>
          <w:rFonts w:ascii="Times New Roman" w:hAnsi="Times New Roman"/>
          <w:bCs/>
        </w:rPr>
        <w:t xml:space="preserve">ить</w:t>
      </w:r>
      <w:r>
        <w:rPr>
          <w:rFonts w:ascii="Times New Roman" w:hAnsi="Times New Roman"/>
          <w:bCs/>
        </w:rPr>
        <w:t xml:space="preserve"> в ГРО не позднее 10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числа</w:t>
      </w:r>
      <w:r>
        <w:rPr>
          <w:rFonts w:ascii="Times New Roman" w:hAnsi="Times New Roman"/>
          <w:bCs/>
        </w:rPr>
        <w:t xml:space="preserve"> месяца, следующего за месяцем транспортировки газа.</w:t>
      </w:r>
      <w:r>
        <w:rPr>
          <w:rFonts w:ascii="Times New Roman" w:hAnsi="Times New Roman"/>
          <w:bCs/>
          <w:lang w:val="en-US"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3.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. При наличии разногласий Сторона, не согласная с определением количества транспортированного газа и/или расчетом стоимости </w:t>
      </w:r>
      <w:r>
        <w:rPr>
          <w:rFonts w:ascii="Times New Roman" w:hAnsi="Times New Roman"/>
        </w:rPr>
        <w:t xml:space="preserve">услуг по </w:t>
      </w:r>
      <w:r>
        <w:rPr>
          <w:rFonts w:ascii="Times New Roman" w:hAnsi="Times New Roman"/>
        </w:rPr>
        <w:t xml:space="preserve">его транспортировк</w:t>
      </w:r>
      <w:r>
        <w:rPr>
          <w:rFonts w:ascii="Times New Roman" w:hAnsi="Times New Roman"/>
        </w:rPr>
        <w:t xml:space="preserve">е, подписывает акт</w:t>
      </w:r>
      <w:r>
        <w:rPr>
          <w:rFonts w:ascii="Times New Roman" w:hAnsi="Times New Roman"/>
        </w:rPr>
        <w:t xml:space="preserve">, отража</w:t>
      </w:r>
      <w:r>
        <w:rPr>
          <w:rFonts w:ascii="Times New Roman" w:hAnsi="Times New Roman"/>
        </w:rPr>
        <w:t xml:space="preserve">я</w:t>
      </w:r>
      <w:r>
        <w:rPr>
          <w:rFonts w:ascii="Times New Roman" w:hAnsi="Times New Roman"/>
        </w:rPr>
        <w:t xml:space="preserve"> в </w:t>
      </w:r>
      <w:r>
        <w:rPr>
          <w:rFonts w:ascii="Times New Roman" w:hAnsi="Times New Roman"/>
        </w:rPr>
        <w:t xml:space="preserve">нем</w:t>
      </w:r>
      <w:r>
        <w:rPr>
          <w:rFonts w:ascii="Times New Roman" w:hAnsi="Times New Roman"/>
        </w:rPr>
        <w:t xml:space="preserve"> своё особое мнение. Особое мнение рассматривается в рабочем порядке, а в случае не разрешения спорной ситуации, любая из Сторон вправе обратиться в Арбитражный суд Рязанской области. До разрешения спора количество транспортированного </w:t>
      </w:r>
      <w:r>
        <w:rPr>
          <w:rFonts w:ascii="Times New Roman" w:hAnsi="Times New Roman"/>
        </w:rPr>
        <w:t xml:space="preserve">газа принимается по данным </w:t>
      </w:r>
      <w:r>
        <w:rPr>
          <w:rFonts w:ascii="Times New Roman" w:hAnsi="Times New Roman"/>
        </w:rPr>
        <w:t xml:space="preserve">ГРО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bCs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</w:t>
      </w:r>
      <w:r>
        <w:rPr>
          <w:rFonts w:ascii="Times New Roman" w:hAnsi="Times New Roman"/>
        </w:rPr>
        <w:t xml:space="preserve">6</w:t>
      </w:r>
      <w:r>
        <w:rPr>
          <w:rFonts w:ascii="Times New Roman" w:hAnsi="Times New Roman"/>
        </w:rPr>
        <w:t xml:space="preserve">. Стороны обязаны уведомлять друг друга </w:t>
      </w:r>
      <w:r>
        <w:rPr>
          <w:rFonts w:ascii="Times New Roman" w:hAnsi="Times New Roman"/>
        </w:rPr>
        <w:t xml:space="preserve">любыми оперативными средствами </w:t>
      </w:r>
      <w:r>
        <w:rPr>
          <w:rFonts w:ascii="Times New Roman" w:hAnsi="Times New Roman"/>
        </w:rPr>
        <w:t xml:space="preserve">о сокращении или полном прекращении </w:t>
      </w:r>
      <w:r>
        <w:rPr>
          <w:rFonts w:ascii="Times New Roman" w:hAnsi="Times New Roman"/>
        </w:rPr>
        <w:t xml:space="preserve">транспортировки</w:t>
      </w:r>
      <w:r>
        <w:rPr>
          <w:rFonts w:ascii="Times New Roman" w:hAnsi="Times New Roman"/>
        </w:rPr>
        <w:t xml:space="preserve"> газа в следующие сроки:</w:t>
      </w:r>
      <w:r>
        <w:rPr>
          <w:rFonts w:ascii="Times New Roman" w:hAnsi="Times New Roman"/>
        </w:rPr>
      </w:r>
    </w:p>
    <w:p>
      <w:pPr>
        <w:ind w:firstLine="567"/>
        <w:jc w:val="both"/>
        <w:spacing w:line="276" w:lineRule="auto"/>
        <w:widowControl w:val="off"/>
      </w:pPr>
      <w:r>
        <w:t xml:space="preserve">- о плановой остановке - за 30 </w:t>
      </w:r>
      <w:r>
        <w:t xml:space="preserve">календарных дней </w:t>
      </w:r>
      <w:r>
        <w:t xml:space="preserve">до </w:t>
      </w:r>
      <w:r>
        <w:t xml:space="preserve">введения ограничения транспортировки газа;</w:t>
      </w:r>
      <w:r/>
    </w:p>
    <w:p>
      <w:pPr>
        <w:ind w:firstLine="567"/>
        <w:jc w:val="both"/>
        <w:spacing w:line="276" w:lineRule="auto"/>
        <w:widowControl w:val="off"/>
      </w:pPr>
      <w:r>
        <w:t xml:space="preserve">- при </w:t>
      </w:r>
      <w:r>
        <w:t xml:space="preserve">в</w:t>
      </w:r>
      <w:r>
        <w:t xml:space="preserve">неплановых остановках - за 3 календарных дня</w:t>
      </w:r>
      <w:r>
        <w:t xml:space="preserve"> до </w:t>
      </w:r>
      <w:r>
        <w:t xml:space="preserve">введения ограничения транспортировки газа</w:t>
      </w:r>
      <w:r>
        <w:t xml:space="preserve">;</w:t>
      </w:r>
      <w:r/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при возникновении </w:t>
      </w:r>
      <w:r>
        <w:rPr>
          <w:rFonts w:ascii="Times New Roman" w:hAnsi="Times New Roman"/>
        </w:rPr>
        <w:t xml:space="preserve">аварийной ситуации – немедленно;</w:t>
      </w:r>
      <w:r>
        <w:rPr>
          <w:rFonts w:ascii="Times New Roman" w:hAnsi="Times New Roman"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 иных случаях, </w:t>
      </w:r>
      <w:r>
        <w:rPr>
          <w:rFonts w:ascii="Times New Roman" w:hAnsi="Times New Roman"/>
        </w:rPr>
        <w:t xml:space="preserve">предусмотренных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«Правилами ограничения подачи (поставки) и отбора газа</w:t>
      </w:r>
      <w:r/>
      <w:r>
        <w:rPr>
          <w:rFonts w:ascii="Times New Roman" w:hAnsi="Times New Roman"/>
        </w:rPr>
        <w:t xml:space="preserve">», в установленные им сроки и порядке.</w:t>
      </w:r>
      <w:r>
        <w:rPr>
          <w:rFonts w:ascii="Times New Roman" w:hAnsi="Times New Roman"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98"/>
        <w:ind w:firstLine="567"/>
        <w:jc w:val="center"/>
        <w:spacing w:line="276" w:lineRule="auto"/>
        <w:widowControl w:val="off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4. Качество газа</w:t>
      </w:r>
      <w:r>
        <w:rPr>
          <w:rFonts w:ascii="Times New Roman" w:hAnsi="Times New Roman"/>
          <w:b/>
          <w:bCs/>
        </w:rPr>
      </w:r>
    </w:p>
    <w:p>
      <w:pPr>
        <w:pStyle w:val="798"/>
        <w:ind w:firstLine="567"/>
        <w:jc w:val="center"/>
        <w:spacing w:line="276" w:lineRule="auto"/>
        <w:widowControl w:val="off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ind w:firstLine="567"/>
        <w:jc w:val="both"/>
        <w:spacing w:line="276" w:lineRule="auto"/>
        <w:widowControl w:val="off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4.1. </w:t>
      </w:r>
      <w:r>
        <w:rPr>
          <w:bCs/>
          <w:sz w:val="20"/>
          <w:szCs w:val="20"/>
        </w:rPr>
        <w:t xml:space="preserve">Транспортируемый газа должен соответствовать требованиям нормативных документов, определяющих качественные характеристики газа –</w:t>
      </w:r>
      <w:r>
        <w:rPr>
          <w:bCs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ГОСТ 5542-2022 «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white"/>
        </w:rPr>
        <w:t xml:space="preserve">Газ природный промышленного и коммунально-бытового назначения. Технические условия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» или нормативным документам, принятым взамен указанного, либо его изменяющим.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</w:r>
    </w:p>
    <w:p>
      <w:pPr>
        <w:ind w:firstLine="567"/>
        <w:jc w:val="both"/>
        <w:spacing w:line="276" w:lineRule="auto"/>
        <w:widowControl w:val="off"/>
        <w:rPr>
          <w:bCs/>
        </w:rPr>
      </w:pPr>
      <w:r>
        <w:rPr>
          <w:bCs/>
        </w:rPr>
        <w:t xml:space="preserve">4.2. Ответственность за качество газа несет Поставщик.</w:t>
      </w:r>
      <w:r>
        <w:rPr>
          <w:bCs/>
        </w:rPr>
      </w:r>
    </w:p>
    <w:p>
      <w:pPr>
        <w:pStyle w:val="798"/>
        <w:ind w:firstLine="567"/>
        <w:jc w:val="center"/>
        <w:spacing w:line="276" w:lineRule="auto"/>
        <w:widowControl w:val="off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98"/>
        <w:ind w:firstLine="567"/>
        <w:jc w:val="center"/>
        <w:spacing w:line="276" w:lineRule="auto"/>
        <w:widowControl w:val="off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5. Цена и порядок расчетов</w:t>
      </w:r>
      <w:r>
        <w:rPr>
          <w:rFonts w:ascii="Times New Roman" w:hAnsi="Times New Roman"/>
          <w:b/>
          <w:bCs/>
        </w:rPr>
      </w:r>
    </w:p>
    <w:p>
      <w:pPr>
        <w:pStyle w:val="798"/>
        <w:ind w:firstLine="567"/>
        <w:jc w:val="center"/>
        <w:spacing w:line="276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</w:t>
      </w:r>
      <w:r>
        <w:rPr>
          <w:rFonts w:ascii="Times New Roman" w:hAnsi="Times New Roman"/>
        </w:rPr>
        <w:t xml:space="preserve">. Тарифы на услуги по транспортировке газа по газораспределительным сетям ГРО, применяемые по настоящему Договору, устанавливаются Федеральным органом исполнительной власти в сфере государственного регулирования цен (тарифов)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специальная надбавка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к тарифу на услуги по транспортировке газа по газораспределительным сетям ГРО, предназначенн</w:t>
      </w:r>
      <w:r>
        <w:rPr>
          <w:rFonts w:ascii="Times New Roman" w:hAnsi="Times New Roman"/>
        </w:rPr>
        <w:t xml:space="preserve">ая</w:t>
      </w:r>
      <w:r>
        <w:rPr>
          <w:rFonts w:ascii="Times New Roman" w:hAnsi="Times New Roman"/>
        </w:rPr>
        <w:t xml:space="preserve"> для финансирования программ газификации и применяемая по настоящему Договору, утверждается органом исполнительной власти субъекта Российской Федерации (Рязанской области).</w:t>
      </w:r>
      <w:r>
        <w:rPr>
          <w:rFonts w:ascii="Times New Roman" w:hAnsi="Times New Roman"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Изменения тарифа на услуги по транспортировке газа по газораспределительным сетям, специальной надбавки к тарифу на услуги по тран</w:t>
      </w:r>
      <w:r>
        <w:rPr>
          <w:rFonts w:ascii="Times New Roman" w:hAnsi="Times New Roman"/>
        </w:rPr>
        <w:t xml:space="preserve">спортировке газа по газораспределительным сетям в период действия настоящего Договора производятся в порядке и сроки, предусмотренные законодательством Российской Федерации. При этом заключения дополнительного соглашения к настоящему Договору не требуется.</w:t>
      </w:r>
      <w:r>
        <w:rPr>
          <w:rFonts w:ascii="Times New Roman" w:hAnsi="Times New Roman"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изменении тарифа на услуги по транспортировке газа по газораспределительным сетям и/или размера специальной надбавки к тарифу на услуги по транспортировке газа по газораспределительным сетям</w:t>
      </w:r>
      <w:r>
        <w:rPr>
          <w:rFonts w:ascii="Times New Roman" w:hAnsi="Times New Roman"/>
        </w:rPr>
        <w:t xml:space="preserve"> ГРО направляет Потребителю соответствующее уведомление.</w:t>
      </w:r>
      <w:r>
        <w:rPr>
          <w:rFonts w:ascii="Times New Roman" w:hAnsi="Times New Roman"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Отнесение Потребителя к группе, по которым дифференцируется тариф на транспортировку газа для целей расчета и применения тарифов, осуществляется исходя из годового объема транспортировки газа на текущий год да</w:t>
      </w:r>
      <w:r>
        <w:rPr>
          <w:rFonts w:ascii="Times New Roman" w:hAnsi="Times New Roman"/>
        </w:rPr>
        <w:t xml:space="preserve">нному конечному Потребителю по всем договорам, предусматривающим оказание услуг по транспортировке газа по газораспределительным сетям, находящимся в ведении ГРО, отдельно по точкам подключения сетей конечных Потребителей к газораспределительным сетям ГРО.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Расчет стоимости услуг за транспортировку газа производится исходя из фактического объема газа, транспортированного на газопотребляющи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 объект</w:t>
      </w:r>
      <w:r>
        <w:rPr>
          <w:rFonts w:ascii="Times New Roman" w:hAnsi="Times New Roman"/>
        </w:rPr>
        <w:t xml:space="preserve">ы</w:t>
      </w:r>
      <w:r>
        <w:rPr>
          <w:rFonts w:ascii="Times New Roman" w:hAnsi="Times New Roman"/>
        </w:rPr>
        <w:t xml:space="preserve"> за период оказания услуг.</w:t>
      </w:r>
      <w:r>
        <w:rPr>
          <w:rFonts w:ascii="Times New Roman" w:hAnsi="Times New Roman"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 В случае если соответствующий фактический объем транспортировки газа Потребителю в течение года, договорное значение которого использовалось для первоначального отнесения </w:t>
      </w:r>
      <w:r>
        <w:rPr>
          <w:rFonts w:ascii="Times New Roman" w:hAnsi="Times New Roman"/>
        </w:rPr>
        <w:t xml:space="preserve">Потребителя</w:t>
      </w:r>
      <w:r>
        <w:rPr>
          <w:rFonts w:ascii="Times New Roman" w:hAnsi="Times New Roman"/>
        </w:rPr>
        <w:t xml:space="preserve"> к группе потребления, выходит за объемные пределы группы, к которой он был первоначально отнесен, кроме случаев перерасхода газа без предвари</w:t>
      </w:r>
      <w:r>
        <w:rPr>
          <w:rFonts w:ascii="Times New Roman" w:hAnsi="Times New Roman"/>
        </w:rPr>
        <w:t xml:space="preserve">тельного согласования с Поставщиком и ГРО, Потребитель относится к другой группе потребления (отнесение к группе с более высоким порядковым номером проводится  по итогам года или в месяце окончания оказания услуг, а с меньшим порядковым номером - в месяц п</w:t>
      </w:r>
      <w:r>
        <w:rPr>
          <w:rFonts w:ascii="Times New Roman" w:hAnsi="Times New Roman"/>
        </w:rPr>
        <w:t xml:space="preserve">ревышения верхней границы объемного диапазона группы, к которой первоначально был отнесен конечный потребитель) (п. 45 Методических указаний по регулированию тарифов на услуги по транспортировке газа по газораспределительным сетям, утвержденных Приказом ФС</w:t>
      </w:r>
      <w:r>
        <w:rPr>
          <w:rFonts w:ascii="Times New Roman" w:hAnsi="Times New Roman"/>
        </w:rPr>
        <w:t xml:space="preserve">Т РФ от 15.12.2009 г. № 411-э/7</w:t>
      </w:r>
      <w:r>
        <w:rPr>
          <w:rFonts w:ascii="Times New Roman" w:hAnsi="Times New Roman"/>
        </w:rPr>
        <w:t xml:space="preserve">).</w:t>
      </w:r>
      <w:r>
        <w:rPr>
          <w:rFonts w:ascii="Times New Roman" w:hAnsi="Times New Roman"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Корректировка отнесения конечного потребителя к группе вследствие заключения дополнительных соглашений к договору транспортировки газа не проводится.</w:t>
      </w:r>
      <w:r>
        <w:rPr>
          <w:rFonts w:ascii="Times New Roman" w:hAnsi="Times New Roman"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5.4. Цена за услуги по транспортировке газа по настоящему Договору формируется по точке подключения из тарифа на </w:t>
      </w:r>
      <w:r>
        <w:rPr>
          <w:rFonts w:ascii="Times New Roman" w:hAnsi="Times New Roman"/>
        </w:rPr>
        <w:t xml:space="preserve">услуги по </w:t>
      </w:r>
      <w:r>
        <w:rPr>
          <w:rFonts w:ascii="Times New Roman" w:hAnsi="Times New Roman"/>
        </w:rPr>
        <w:t xml:space="preserve">транспортировк</w:t>
      </w:r>
      <w:r>
        <w:rPr>
          <w:rFonts w:ascii="Times New Roman" w:hAnsi="Times New Roman"/>
        </w:rPr>
        <w:t xml:space="preserve">е</w:t>
      </w:r>
      <w:r>
        <w:rPr>
          <w:rFonts w:ascii="Times New Roman" w:hAnsi="Times New Roman"/>
        </w:rPr>
        <w:t xml:space="preserve"> газа по</w:t>
      </w:r>
      <w:r>
        <w:rPr>
          <w:rFonts w:ascii="Times New Roman" w:hAnsi="Times New Roman"/>
        </w:rPr>
        <w:t xml:space="preserve"> газораспределительным </w:t>
      </w:r>
      <w:r>
        <w:rPr>
          <w:rFonts w:ascii="Times New Roman" w:hAnsi="Times New Roman"/>
        </w:rPr>
        <w:t xml:space="preserve">сетям ГРО по соответствующей группе конечного потребителя и специальной надбавки к тарифу на</w:t>
      </w:r>
      <w:r>
        <w:rPr>
          <w:rFonts w:ascii="Times New Roman" w:hAnsi="Times New Roman"/>
        </w:rPr>
        <w:t xml:space="preserve"> услуги по транспортировке</w:t>
      </w:r>
      <w:r>
        <w:rPr>
          <w:rFonts w:ascii="Times New Roman" w:hAnsi="Times New Roman"/>
        </w:rPr>
        <w:t xml:space="preserve"> газа по </w:t>
      </w:r>
      <w:r>
        <w:rPr>
          <w:rFonts w:ascii="Times New Roman" w:hAnsi="Times New Roman"/>
        </w:rPr>
        <w:t xml:space="preserve">газораспределительным </w:t>
      </w:r>
      <w:r>
        <w:rPr>
          <w:rFonts w:ascii="Times New Roman" w:hAnsi="Times New Roman"/>
        </w:rPr>
        <w:t xml:space="preserve">сетям ГРО (с учетом дополнительных налоговых платежей, возникающих в связи с введением специальной надбавки), определенных в порядке, установленном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Правительством Российской Федерации. Кроме того, к оплате предъявляется НДС по ставке, предусмотренной действующим законодательством. </w:t>
      </w:r>
      <w:r>
        <w:rPr>
          <w:rFonts w:ascii="Times New Roman" w:hAnsi="Times New Roman"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5.5. При перерасходе газа Потребителем без предварительн</w:t>
      </w:r>
      <w:r>
        <w:rPr>
          <w:rFonts w:ascii="Times New Roman" w:hAnsi="Times New Roman"/>
        </w:rPr>
        <w:t xml:space="preserve">ого согласования с ГРО цена за услуги по транспортировке объема перерасхода газа формируется ГРО исходя из фактически сложившегося в данном месяце по точке подключения Потребителя тарифа на услуги по транспортировке газа по газораспределительным сетям ГРО </w:t>
      </w:r>
      <w:r>
        <w:rPr>
          <w:rFonts w:ascii="Times New Roman" w:hAnsi="Times New Roman"/>
        </w:rPr>
        <w:t xml:space="preserve">увеличенного на коэффициент, предусмотренный п. 17 Правил поставки газа </w:t>
      </w:r>
      <w:r>
        <w:rPr>
          <w:rFonts w:ascii="Times New Roman" w:hAnsi="Times New Roman"/>
        </w:rPr>
        <w:t xml:space="preserve">и специальной надбавки к тарифу на услуги по транспортировке газа по газораспределительным сетям ГРО (с учетом дополнительных налоговых платежей, возникающих в связи с введением специальной над</w:t>
      </w:r>
      <w:r>
        <w:rPr>
          <w:rFonts w:ascii="Times New Roman" w:hAnsi="Times New Roman"/>
        </w:rPr>
        <w:t xml:space="preserve">бавки).</w:t>
      </w:r>
      <w:r>
        <w:rPr>
          <w:rFonts w:ascii="Times New Roman" w:hAnsi="Times New Roman"/>
        </w:rPr>
        <w:t xml:space="preserve"> Кроме того, к оплате предъявляется НДС по ставке, предусмотренной действующим законодательством.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ind w:firstLine="540"/>
        <w:jc w:val="both"/>
        <w:spacing w:line="276" w:lineRule="auto"/>
      </w:pPr>
      <w:r>
        <w:t xml:space="preserve">5.6. Оплата Потребителем услуг по транспортировке газа </w:t>
      </w:r>
      <w:r>
        <w:t xml:space="preserve">производится  до </w:t>
      </w:r>
      <w:r>
        <w:t xml:space="preserve">21</w:t>
      </w:r>
      <w:r>
        <w:t xml:space="preserve"> числа месяца, следующего </w:t>
      </w:r>
      <w:r>
        <w:t xml:space="preserve">за месяцем транспортировки газа на основании Акта об оказании услуг по транспортировке газа, путем перечисления денежных средств  на расчетный счет ГРО.</w:t>
      </w:r>
      <w:r>
        <w:t xml:space="preserve"> </w:t>
      </w:r>
      <w:r/>
    </w:p>
    <w:p>
      <w:pPr>
        <w:ind w:firstLine="540"/>
        <w:jc w:val="both"/>
        <w:spacing w:line="276" w:lineRule="auto"/>
      </w:pPr>
      <w:r>
        <w:t xml:space="preserve">В платежном поручении Потребитель указывает номер и дату заключения Договора, сумму платежа с выделением суммы НДС, наименование периода (месяца) за который производится расчет.</w:t>
      </w:r>
      <w:r/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Платеж считается совершенным по факту поступления денежных средств на </w:t>
      </w:r>
      <w:r>
        <w:rPr>
          <w:rFonts w:ascii="Times New Roman" w:hAnsi="Times New Roman"/>
        </w:rPr>
        <w:t xml:space="preserve">расчетный</w:t>
      </w:r>
      <w:r>
        <w:rPr>
          <w:rFonts w:ascii="Times New Roman" w:hAnsi="Times New Roman"/>
        </w:rPr>
        <w:t xml:space="preserve"> счет банка ГРО.</w:t>
      </w:r>
      <w:r>
        <w:rPr>
          <w:rFonts w:ascii="Times New Roman" w:hAnsi="Times New Roman"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5.7. В случае неоднократного (два и более раза) нарушения Потребителем сроков оплаты за фактически  оказанные услуги  по транспортировке газа, ГРО вправе в порядке, установленном действующим законодательством РФ, отказаться от исполнения настоящего </w:t>
      </w:r>
      <w:r>
        <w:rPr>
          <w:rFonts w:ascii="Times New Roman" w:hAnsi="Times New Roman"/>
        </w:rPr>
        <w:t xml:space="preserve">Договора, либо уменьшить или полностью прекратить транспортировку газа Потребителю. Под нарушением сроков оплаты Стороны понимают полное или частичное отсутствие оплаты за фактически оказанные  услуги по транспортировке газа за два и более платежных период</w:t>
      </w:r>
      <w:r>
        <w:rPr>
          <w:rFonts w:ascii="Times New Roman" w:hAnsi="Times New Roman"/>
        </w:rPr>
        <w:t xml:space="preserve">а</w:t>
      </w:r>
      <w:r>
        <w:rPr>
          <w:rFonts w:ascii="Times New Roman" w:hAnsi="Times New Roman"/>
        </w:rPr>
        <w:t xml:space="preserve"> в сроки, установленные разделом 5 настоящего Договора.</w:t>
      </w:r>
      <w:r>
        <w:rPr>
          <w:rFonts w:ascii="Times New Roman" w:hAnsi="Times New Roman"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</w:t>
      </w:r>
      <w:r>
        <w:rPr>
          <w:rFonts w:ascii="Times New Roman" w:hAnsi="Times New Roman"/>
        </w:rPr>
        <w:t xml:space="preserve">8</w:t>
      </w:r>
      <w:r>
        <w:rPr>
          <w:rFonts w:ascii="Times New Roman" w:hAnsi="Times New Roman"/>
        </w:rPr>
        <w:t xml:space="preserve">. При наличии задолженности Потребителя по оплате услуг по транспортировке газа поступившие денежные средства засчитываются в погашение ранее возникшей задолженности независимо от периода  </w:t>
      </w:r>
      <w:r>
        <w:rPr>
          <w:rFonts w:ascii="Times New Roman" w:hAnsi="Times New Roman"/>
        </w:rPr>
        <w:t xml:space="preserve">(месяца) транспортировки газа</w:t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  <w:t xml:space="preserve"> указанного Потребителем в платежных поручениях.</w:t>
      </w:r>
      <w:r>
        <w:rPr>
          <w:rFonts w:ascii="Times New Roman" w:hAnsi="Times New Roman"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5.9</w:t>
      </w:r>
      <w:r>
        <w:rPr>
          <w:rFonts w:ascii="Times New Roman" w:hAnsi="Times New Roman"/>
        </w:rPr>
        <w:t xml:space="preserve">. До 20-го числа месяца</w:t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  <w:t xml:space="preserve"> следующего за отчетным кварталом</w:t>
      </w:r>
      <w:r>
        <w:rPr>
          <w:rFonts w:ascii="Times New Roman" w:hAnsi="Times New Roman"/>
        </w:rPr>
        <w:t xml:space="preserve">,</w:t>
      </w:r>
      <w:r>
        <w:rPr>
          <w:rFonts w:ascii="Times New Roman" w:hAnsi="Times New Roman"/>
        </w:rPr>
        <w:t xml:space="preserve"> ГРО составляет и направляет Потребителю </w:t>
      </w:r>
      <w:r>
        <w:rPr>
          <w:rFonts w:ascii="Times New Roman" w:hAnsi="Times New Roman"/>
        </w:rPr>
        <w:t xml:space="preserve">посредством почтовой связи или иным способом, принятым обычаями делового оборота,</w:t>
      </w:r>
      <w:r>
        <w:rPr>
          <w:rFonts w:ascii="Times New Roman" w:hAnsi="Times New Roman"/>
        </w:rPr>
        <w:t xml:space="preserve"> бухгалтерский акт сверки расчетов за услуги по транспортировке газа, а Потребитель подписывает представленный акт и возвращает один экземпляр ГРО в недельный срок со дня получения.</w:t>
      </w:r>
      <w:r>
        <w:rPr>
          <w:rFonts w:ascii="Times New Roman" w:hAnsi="Times New Roman"/>
        </w:rPr>
      </w:r>
    </w:p>
    <w:p>
      <w:pPr>
        <w:pStyle w:val="787"/>
        <w:ind w:firstLine="567"/>
        <w:spacing w:line="276" w:lineRule="auto"/>
        <w:widowControl w:val="off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87"/>
        <w:ind w:firstLine="567"/>
        <w:jc w:val="center"/>
        <w:spacing w:line="276" w:lineRule="auto"/>
        <w:widowControl w:val="off"/>
        <w:rPr>
          <w:b/>
          <w:bCs/>
          <w:sz w:val="20"/>
        </w:rPr>
      </w:pPr>
      <w:r>
        <w:rPr>
          <w:b/>
          <w:bCs/>
          <w:sz w:val="20"/>
        </w:rPr>
        <w:t xml:space="preserve">6. Регулирование споров</w:t>
      </w:r>
      <w:r>
        <w:rPr>
          <w:b/>
          <w:bCs/>
          <w:sz w:val="20"/>
        </w:rPr>
      </w:r>
    </w:p>
    <w:p>
      <w:pPr>
        <w:pStyle w:val="787"/>
        <w:ind w:firstLine="567"/>
        <w:jc w:val="center"/>
        <w:spacing w:line="276" w:lineRule="auto"/>
        <w:widowControl w:val="off"/>
        <w:rPr>
          <w:b/>
          <w:bCs/>
          <w:sz w:val="20"/>
        </w:rPr>
      </w:pPr>
      <w:r>
        <w:rPr>
          <w:b/>
          <w:bCs/>
          <w:sz w:val="20"/>
        </w:rPr>
      </w:r>
      <w:r>
        <w:rPr>
          <w:b/>
          <w:bCs/>
          <w:sz w:val="20"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 Все споры, разногласия или требования, возникающие из данного договора или в связи с ним, в том числе касающиеся его нарушения, прекращения и недействительности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могут быть переданы</w:t>
      </w:r>
      <w:r>
        <w:rPr>
          <w:rFonts w:ascii="Times New Roman" w:hAnsi="Times New Roman"/>
        </w:rPr>
        <w:t xml:space="preserve"> на разрешение Арбитражного суда Рязанской области после принятия сторонами мер по досудебному урегулированию по истечении пятнадцати календарных дней со дня направления претензии (требования).</w:t>
      </w:r>
      <w:r>
        <w:rPr>
          <w:rFonts w:ascii="Times New Roman" w:hAnsi="Times New Roman"/>
        </w:rPr>
      </w:r>
    </w:p>
    <w:p>
      <w:pPr>
        <w:pStyle w:val="798"/>
        <w:ind w:firstLine="567"/>
        <w:jc w:val="center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98"/>
        <w:ind w:firstLine="567"/>
        <w:jc w:val="center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7. Срок действия договора</w:t>
      </w:r>
      <w:r>
        <w:rPr>
          <w:rFonts w:ascii="Times New Roman" w:hAnsi="Times New Roman"/>
          <w:b/>
          <w:bCs/>
        </w:rPr>
      </w:r>
    </w:p>
    <w:p>
      <w:pPr>
        <w:pStyle w:val="798"/>
        <w:ind w:firstLine="567"/>
        <w:jc w:val="center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98"/>
        <w:ind w:firstLine="567"/>
        <w:jc w:val="both"/>
        <w:spacing w:line="276" w:lineRule="auto"/>
        <w:widowControl w:val="off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7.1.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Договор вступает в силу со дня подписания его сторонами и действует до полного исполнения Сторонами своих обязательств.</w:t>
      </w:r>
      <w:r>
        <w:rPr>
          <w:rFonts w:ascii="Times New Roman" w:hAnsi="Times New Roman"/>
          <w:b/>
          <w:bCs/>
        </w:rPr>
      </w:r>
    </w:p>
    <w:p>
      <w:pPr>
        <w:pStyle w:val="787"/>
        <w:ind w:firstLine="567"/>
        <w:jc w:val="center"/>
        <w:spacing w:line="276" w:lineRule="auto"/>
        <w:tabs>
          <w:tab w:val="left" w:pos="1276" w:leader="none"/>
        </w:tabs>
        <w:rPr>
          <w:b/>
          <w:bCs/>
          <w:sz w:val="20"/>
        </w:rPr>
      </w:pPr>
      <w:r>
        <w:rPr>
          <w:b/>
          <w:bCs/>
          <w:sz w:val="20"/>
        </w:rPr>
        <w:t xml:space="preserve">8. Прочие условия</w:t>
      </w:r>
      <w:r>
        <w:rPr>
          <w:b/>
          <w:bCs/>
          <w:sz w:val="20"/>
        </w:rPr>
      </w:r>
    </w:p>
    <w:p>
      <w:pPr>
        <w:pStyle w:val="787"/>
        <w:ind w:firstLine="567"/>
        <w:jc w:val="center"/>
        <w:spacing w:line="276" w:lineRule="auto"/>
        <w:tabs>
          <w:tab w:val="left" w:pos="1276" w:leader="none"/>
        </w:tabs>
        <w:rPr>
          <w:b/>
          <w:bCs/>
          <w:sz w:val="20"/>
        </w:rPr>
      </w:pPr>
      <w:r>
        <w:rPr>
          <w:b/>
          <w:bCs/>
          <w:sz w:val="20"/>
        </w:rPr>
      </w:r>
      <w:r>
        <w:rPr>
          <w:b/>
          <w:bCs/>
          <w:sz w:val="20"/>
        </w:rPr>
      </w:r>
    </w:p>
    <w:p>
      <w:pPr>
        <w:pStyle w:val="787"/>
        <w:ind w:firstLine="567"/>
        <w:spacing w:line="276" w:lineRule="auto"/>
        <w:tabs>
          <w:tab w:val="left" w:pos="720" w:leader="none"/>
        </w:tabs>
        <w:rPr>
          <w:sz w:val="20"/>
        </w:rPr>
      </w:pPr>
      <w:r>
        <w:rPr>
          <w:sz w:val="20"/>
        </w:rPr>
        <w:t xml:space="preserve">8.1. В случаях, не предусмотренных условиями Договора, Стороны руководствуются действующим законодательством РФ.</w:t>
      </w:r>
      <w:r>
        <w:rPr>
          <w:sz w:val="20"/>
        </w:rPr>
      </w:r>
    </w:p>
    <w:p>
      <w:pPr>
        <w:pStyle w:val="787"/>
        <w:ind w:firstLine="567"/>
        <w:spacing w:line="276" w:lineRule="auto"/>
        <w:rPr>
          <w:sz w:val="20"/>
        </w:rPr>
      </w:pPr>
      <w:r>
        <w:rPr>
          <w:sz w:val="20"/>
        </w:rPr>
        <w:t xml:space="preserve">8.2. Стороны обязуются не разглашать конфиденциальные сведения производственного и коммерческого характера, которые стали им известны в процессе совместной деятельности.</w:t>
      </w:r>
      <w:r>
        <w:rPr>
          <w:sz w:val="20"/>
        </w:rPr>
      </w:r>
    </w:p>
    <w:p>
      <w:pPr>
        <w:pStyle w:val="787"/>
        <w:ind w:firstLine="567"/>
        <w:spacing w:line="276" w:lineRule="auto"/>
        <w:tabs>
          <w:tab w:val="left" w:pos="709" w:leader="none"/>
        </w:tabs>
        <w:rPr>
          <w:sz w:val="20"/>
        </w:rPr>
      </w:pPr>
      <w:r>
        <w:rPr>
          <w:sz w:val="20"/>
        </w:rPr>
        <w:t xml:space="preserve">8.3. Все изменения и дополнения к настоящему Договору оформляются дополнительным соглашением и должны быть подписаны уполномоченными представителями Сторон.</w:t>
      </w:r>
      <w:r>
        <w:rPr>
          <w:sz w:val="20"/>
        </w:rPr>
      </w:r>
    </w:p>
    <w:p>
      <w:pPr>
        <w:pStyle w:val="787"/>
        <w:ind w:firstLine="567"/>
        <w:spacing w:line="276" w:lineRule="auto"/>
        <w:tabs>
          <w:tab w:val="left" w:pos="709" w:leader="none"/>
        </w:tabs>
        <w:rPr>
          <w:sz w:val="20"/>
        </w:rPr>
      </w:pPr>
      <w:r>
        <w:rPr>
          <w:sz w:val="20"/>
        </w:rPr>
        <w:t xml:space="preserve">8.4.  Для обеспечения  бесперебойного, надежного газоснабжения коммунально-бытовых потребителей и населения в соответствии с пунктом 19 Правил поставки газа вводятся в действие график перевода потребителей  </w:t>
      </w:r>
      <w:r>
        <w:rPr>
          <w:sz w:val="20"/>
        </w:rPr>
        <w:t xml:space="preserve">на резервные виды топлива при похолодании и график аварийного ограничения подачи природного газа промышленным предприятиям, утвержденные постановлением Правительства  Рязанской области.</w:t>
      </w:r>
      <w:r>
        <w:rPr>
          <w:sz w:val="20"/>
        </w:rPr>
      </w:r>
    </w:p>
    <w:p>
      <w:pPr>
        <w:pStyle w:val="787"/>
        <w:ind w:firstLine="567"/>
        <w:spacing w:line="276" w:lineRule="auto"/>
        <w:tabs>
          <w:tab w:val="left" w:pos="709" w:leader="none"/>
        </w:tabs>
        <w:rPr>
          <w:sz w:val="20"/>
        </w:rPr>
      </w:pPr>
      <w:r>
        <w:rPr>
          <w:sz w:val="20"/>
        </w:rPr>
        <w:t xml:space="preserve">Указание о введении в действие графиков дает ЦПДД ПАО «Газпром». Такие указания являются обязательными для ГРО и Потребителя.</w:t>
      </w:r>
      <w:r>
        <w:rPr>
          <w:sz w:val="20"/>
        </w:rPr>
      </w:r>
    </w:p>
    <w:p>
      <w:pPr>
        <w:pStyle w:val="798"/>
        <w:ind w:firstLine="567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</w:t>
      </w:r>
      <w:r>
        <w:rPr>
          <w:rFonts w:ascii="Times New Roman" w:hAnsi="Times New Roman"/>
        </w:rPr>
        <w:t xml:space="preserve">5</w:t>
      </w:r>
      <w:r>
        <w:rPr>
          <w:rFonts w:ascii="Times New Roman" w:hAnsi="Times New Roman"/>
        </w:rPr>
        <w:t xml:space="preserve">. Стороны обязуются сообщать друг другу об изменении своих адресов, наименования, банковских реквизитов, КПП и статистических кодов, указанных в настоящем договоре, путем направления письменного уведомлении в срок не более 15 (пятнадцати) </w:t>
      </w:r>
      <w:r>
        <w:rPr>
          <w:rFonts w:ascii="Times New Roman" w:hAnsi="Times New Roman"/>
        </w:rPr>
        <w:t xml:space="preserve">календарных </w:t>
      </w:r>
      <w:r>
        <w:rPr>
          <w:rFonts w:ascii="Times New Roman" w:hAnsi="Times New Roman"/>
        </w:rPr>
        <w:t xml:space="preserve">дн</w:t>
      </w:r>
      <w:r>
        <w:rPr>
          <w:rFonts w:ascii="Times New Roman" w:hAnsi="Times New Roman"/>
        </w:rPr>
        <w:t xml:space="preserve">ей с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даты произошедших изменений. При этом заключения дополнительного соглашения между Сторонами не требуется.</w:t>
      </w:r>
      <w:r>
        <w:rPr>
          <w:rFonts w:ascii="Times New Roman" w:hAnsi="Times New Roman"/>
        </w:rPr>
      </w:r>
    </w:p>
    <w:p>
      <w:pPr>
        <w:pStyle w:val="798"/>
        <w:ind w:firstLine="567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8.6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В случае выхода нормативных актов Российской Федерации, изменяющих отношения по транспортировке газа, включая порядок расчётов за услуги по транспортировке газа на территории Российской Федерации, Стороны вносят соответствующие изменения в Договор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798"/>
        <w:ind w:firstLine="567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8.7</w:t>
      </w:r>
      <w:r>
        <w:rPr>
          <w:rFonts w:ascii="Times New Roman" w:hAnsi="Times New Roman"/>
        </w:rPr>
        <w:t xml:space="preserve">. В случае изменений в цепочк</w:t>
      </w:r>
      <w:r>
        <w:rPr>
          <w:rFonts w:ascii="Times New Roman" w:hAnsi="Times New Roman"/>
        </w:rPr>
        <w:t xml:space="preserve">е собственников Сторон, включая бенефициаров (в том числе конечных), и (или) в исполнительных органах соответствующая Сторона, у которой произошли изменения, представляет другой Стороне информацию об изменениях по соответствующим адресам электронной почты:</w:t>
      </w:r>
      <w:r>
        <w:rPr>
          <w:rFonts w:ascii="Times New Roman" w:hAnsi="Times New Roman"/>
          <w:color w:val="0000ff"/>
          <w:u w:val="single"/>
        </w:rPr>
        <w:t xml:space="preserve">_______</w:t>
      </w:r>
      <w:r>
        <w:rPr>
          <w:rFonts w:ascii="Times New Roman" w:hAnsi="Times New Roman"/>
        </w:rPr>
        <w:t xml:space="preserve">(адрес ГРО),</w:t>
      </w:r>
      <w:r>
        <w:rPr>
          <w:rFonts w:ascii="Times New Roman" w:hAnsi="Times New Roman"/>
        </w:rPr>
        <w:t xml:space="preserve"> </w:t>
      </w:r>
      <w:hyperlink r:id="rId16" w:tooltip="mailto:Alekseevama@tn.ru" w:history="1">
        <w:r>
          <w:rPr>
            <w:rStyle w:val="805"/>
            <w:rFonts w:ascii="Times New Roman" w:hAnsi="Times New Roman"/>
          </w:rPr>
          <w:t xml:space="preserve">_______</w:t>
        </w:r>
      </w:hyperlink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 xml:space="preserve">(адрес Потребителя) в течение 3 (трёх) календарных дней после таких изменений с подтверждением соответствующими документами.</w:t>
      </w:r>
      <w:r>
        <w:rPr>
          <w:rFonts w:ascii="Times New Roman" w:hAnsi="Times New Roman"/>
        </w:rPr>
      </w:r>
    </w:p>
    <w:p>
      <w:pPr>
        <w:pStyle w:val="798"/>
        <w:ind w:firstLine="567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8.8</w:t>
      </w:r>
      <w:r>
        <w:rPr>
          <w:rFonts w:ascii="Times New Roman" w:hAnsi="Times New Roman"/>
        </w:rPr>
        <w:t xml:space="preserve">. Неотъемлемой частью настоящего Договора является: </w:t>
      </w:r>
      <w:r>
        <w:rPr>
          <w:rFonts w:ascii="Times New Roman" w:hAnsi="Times New Roman"/>
        </w:rPr>
      </w:r>
    </w:p>
    <w:p>
      <w:pPr>
        <w:pStyle w:val="798"/>
        <w:ind w:firstLine="567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1 – Форма акта об оказании услуг по транспортировке газа.</w:t>
      </w:r>
      <w:r>
        <w:rPr>
          <w:rFonts w:ascii="Times New Roman" w:hAnsi="Times New Roman"/>
        </w:rPr>
      </w:r>
    </w:p>
    <w:p>
      <w:pPr>
        <w:pStyle w:val="798"/>
        <w:ind w:firstLine="567"/>
        <w:jc w:val="bot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2 – Форма </w:t>
      </w:r>
      <w:r>
        <w:rPr>
          <w:rFonts w:ascii="Times New Roman" w:hAnsi="Times New Roman"/>
        </w:rPr>
        <w:t xml:space="preserve">«Данные о фактическом объеме газа транспортированного </w:t>
      </w:r>
      <w:r>
        <w:rPr>
          <w:rFonts w:ascii="Times New Roman" w:hAnsi="Times New Roman"/>
        </w:rPr>
        <w:t xml:space="preserve">________</w:t>
      </w:r>
      <w:r>
        <w:rPr>
          <w:rFonts w:ascii="Times New Roman" w:hAnsi="Times New Roman"/>
        </w:rPr>
        <w:t xml:space="preserve"> по Договору № </w:t>
      </w:r>
      <w:r>
        <w:rPr>
          <w:rFonts w:ascii="Times New Roman" w:hAnsi="Times New Roman"/>
        </w:rPr>
        <w:t xml:space="preserve">_____</w:t>
      </w:r>
      <w:r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г.»</w:t>
      </w:r>
      <w:r>
        <w:rPr>
          <w:rFonts w:ascii="Times New Roman" w:hAnsi="Times New Roman"/>
        </w:rPr>
      </w:r>
    </w:p>
    <w:p>
      <w:pPr>
        <w:pStyle w:val="798"/>
        <w:ind w:firstLine="567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98"/>
        <w:ind w:firstLine="567"/>
        <w:jc w:val="both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798"/>
        <w:numPr>
          <w:ilvl w:val="0"/>
          <w:numId w:val="14"/>
        </w:numPr>
        <w:jc w:val="center"/>
        <w:spacing w:line="276" w:lineRule="auto"/>
        <w:widowControl w:val="off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Адреса, реквизиты и подписи Сторон</w:t>
      </w:r>
      <w:r>
        <w:rPr>
          <w:rFonts w:ascii="Times New Roman" w:hAnsi="Times New Roman"/>
          <w:b/>
          <w:bCs/>
        </w:rPr>
      </w:r>
    </w:p>
    <w:p>
      <w:pPr>
        <w:pStyle w:val="798"/>
        <w:ind w:firstLine="567"/>
        <w:spacing w:line="276" w:lineRule="auto"/>
        <w:widowControl w:val="off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tbl>
      <w:tblPr>
        <w:tblW w:w="150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031"/>
        <w:gridCol w:w="5040"/>
      </w:tblGrid>
      <w:tr>
        <w:tblPrEx/>
        <w:trPr>
          <w:trHeight w:val="106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31" w:type="dxa"/>
            <w:textDirection w:val="lrTb"/>
            <w:noWrap w:val="false"/>
          </w:tcPr>
          <w:p>
            <w:pPr>
              <w:pStyle w:val="808"/>
              <w:tabs>
                <w:tab w:val="left" w:pos="915" w:leader="none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ГРО: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  <w:p>
            <w:pPr>
              <w:jc w:val="both"/>
            </w:pPr>
            <w:r>
              <w:t xml:space="preserve">Полное наименование: </w:t>
            </w:r>
            <w:r>
              <w:t xml:space="preserve">Акционерное общество ''Рязаньгоргаз''</w:t>
            </w:r>
            <w:r/>
          </w:p>
          <w:p>
            <w:pPr>
              <w:jc w:val="both"/>
            </w:pPr>
            <w:r>
              <w:t xml:space="preserve">Сокращенное наименование: АО ''Рязаньгоргаз''</w:t>
            </w:r>
            <w:r>
              <w:t xml:space="preserve"> </w:t>
            </w:r>
            <w:r/>
          </w:p>
          <w:p>
            <w:pPr>
              <w:jc w:val="both"/>
            </w:pPr>
            <w:r>
              <w:t xml:space="preserve">Место нахождения юридического лица</w:t>
            </w:r>
            <w:r>
              <w:t xml:space="preserve">: </w:t>
            </w:r>
            <w:r>
              <w:t xml:space="preserve">390005</w:t>
            </w:r>
            <w:r>
              <w:t xml:space="preserve">, </w:t>
            </w:r>
            <w:r>
              <w:t xml:space="preserve">Рязанская область, г. Рязань, ул. Семашко, д. 18</w:t>
            </w:r>
            <w:r/>
          </w:p>
          <w:p>
            <w:pPr>
              <w:jc w:val="both"/>
              <w:rPr>
                <w:lang w:val="en-US"/>
              </w:rPr>
            </w:pPr>
            <w:r>
              <w:t xml:space="preserve">Почтовый адрес: </w:t>
            </w:r>
            <w:r>
              <w:t xml:space="preserve">390005</w:t>
            </w:r>
            <w:r>
              <w:t xml:space="preserve">, </w:t>
            </w:r>
            <w:r>
              <w:t xml:space="preserve">Рязанская область, г. Рязань, ул. Семашко, д. 18</w:t>
            </w:r>
            <w:r>
              <w:rPr>
                <w:lang w:val="en-US"/>
              </w:rPr>
            </w:r>
          </w:p>
          <w:p>
            <w:pPr>
              <w:pStyle w:val="798"/>
              <w:tabs>
                <w:tab w:val="left" w:pos="0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798"/>
              <w:tabs>
                <w:tab w:val="left" w:pos="0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pStyle w:val="798"/>
              <w:tabs>
                <w:tab w:val="left" w:pos="0" w:leader="none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ПОТРЕБИТЕЛЬ:</w:t>
            </w:r>
            <w:r>
              <w:rPr>
                <w:rFonts w:ascii="Times New Roman" w:hAnsi="Times New Roman"/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40" w:type="dxa"/>
            <w:textDirection w:val="lrTb"/>
            <w:noWrap w:val="false"/>
          </w:tcPr>
          <w:p>
            <w:pPr>
              <w:pStyle w:val="8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</w:tbl>
    <w:p>
      <w:pPr>
        <w:jc w:val="both"/>
        <w:spacing w:line="276" w:lineRule="auto"/>
        <w:widowControl w:val="off"/>
      </w:pPr>
      <w:r>
        <w:t xml:space="preserve">_____________________</w:t>
      </w:r>
      <w:r/>
    </w:p>
    <w:p>
      <w:pPr>
        <w:ind w:firstLine="851"/>
        <w:jc w:val="both"/>
        <w:spacing w:line="276" w:lineRule="auto"/>
        <w:widowControl w:val="off"/>
      </w:pPr>
      <w:r/>
      <w:r/>
    </w:p>
    <w:p>
      <w:pPr>
        <w:pStyle w:val="798"/>
      </w:pPr>
      <w:r/>
      <w:r/>
    </w:p>
    <w:p>
      <w:pPr>
        <w:pStyle w:val="798"/>
      </w:pPr>
      <w:r/>
      <w:r/>
    </w:p>
    <w:p>
      <w:pPr>
        <w:pStyle w:val="798"/>
      </w:pPr>
      <w:r/>
      <w:r/>
    </w:p>
    <w:p>
      <w:pPr>
        <w:pStyle w:val="798"/>
      </w:pPr>
      <w:r/>
      <w:r/>
    </w:p>
    <w:p>
      <w:pPr>
        <w:pStyle w:val="798"/>
      </w:pPr>
      <w:r/>
      <w:r/>
    </w:p>
    <w:p>
      <w:pPr>
        <w:pStyle w:val="798"/>
      </w:pPr>
      <w:r/>
      <w:r/>
    </w:p>
    <w:p>
      <w:pPr>
        <w:pStyle w:val="798"/>
      </w:pPr>
      <w:r/>
      <w:r/>
    </w:p>
    <w:p>
      <w:pPr>
        <w:pStyle w:val="798"/>
      </w:pPr>
      <w:r/>
      <w:r/>
    </w:p>
    <w:p>
      <w:pPr>
        <w:pStyle w:val="798"/>
      </w:pPr>
      <w:r/>
      <w:r/>
    </w:p>
    <w:p>
      <w:pPr>
        <w:pStyle w:val="798"/>
      </w:pPr>
      <w:r/>
      <w:r/>
    </w:p>
    <w:p>
      <w:pPr>
        <w:pStyle w:val="798"/>
      </w:pPr>
      <w:r/>
      <w:r/>
    </w:p>
    <w:p>
      <w:pPr>
        <w:pStyle w:val="798"/>
      </w:pPr>
      <w:r/>
      <w:r/>
    </w:p>
    <w:p>
      <w:pPr>
        <w:pStyle w:val="798"/>
      </w:pPr>
      <w:r/>
      <w:r/>
    </w:p>
    <w:p>
      <w:pPr>
        <w:pStyle w:val="798"/>
      </w:pPr>
      <w:r/>
      <w:r/>
    </w:p>
    <w:p>
      <w:pPr>
        <w:pStyle w:val="798"/>
      </w:pPr>
      <w:r/>
      <w:r/>
    </w:p>
    <w:p>
      <w:pPr>
        <w:pStyle w:val="798"/>
      </w:pPr>
      <w:r/>
      <w:r/>
    </w:p>
    <w:p>
      <w:pPr>
        <w:pStyle w:val="798"/>
      </w:pPr>
      <w:r/>
      <w:r/>
    </w:p>
    <w:p>
      <w:pPr>
        <w:pStyle w:val="798"/>
      </w:pPr>
      <w:r/>
      <w:r/>
    </w:p>
    <w:p>
      <w:pPr>
        <w:pStyle w:val="798"/>
      </w:pPr>
      <w:r/>
      <w:r/>
    </w:p>
    <w:p>
      <w:pPr>
        <w:pStyle w:val="798"/>
      </w:pPr>
      <w:r/>
      <w:r/>
    </w:p>
    <w:p>
      <w:pPr>
        <w:pStyle w:val="798"/>
      </w:pPr>
      <w:r/>
      <w:r/>
    </w:p>
    <w:p>
      <w:pPr>
        <w:pStyle w:val="798"/>
      </w:pPr>
      <w:r/>
      <w:r/>
    </w:p>
    <w:p>
      <w:pPr>
        <w:pStyle w:val="798"/>
      </w:pPr>
      <w:r/>
      <w:r/>
    </w:p>
    <w:p>
      <w:pPr>
        <w:pStyle w:val="798"/>
      </w:pPr>
      <w:r/>
      <w:r/>
    </w:p>
    <w:p>
      <w:pPr>
        <w:pStyle w:val="798"/>
      </w:pPr>
      <w:r/>
      <w:r/>
    </w:p>
    <w:p>
      <w:pPr>
        <w:pStyle w:val="798"/>
        <w:jc w:val="right"/>
        <w:sectPr>
          <w:headerReference w:type="default" r:id="rId9"/>
          <w:footerReference w:type="default" r:id="rId11"/>
          <w:footerReference w:type="even" r:id="rId12"/>
          <w:footnotePr/>
          <w:endnotePr/>
          <w:type w:val="nextPage"/>
          <w:pgSz w:w="11906" w:h="16838" w:orient="portrait"/>
          <w:pgMar w:top="709" w:right="709" w:bottom="568" w:left="1276" w:header="425" w:footer="720" w:gutter="0"/>
          <w:cols w:num="1" w:sep="0" w:space="720" w:equalWidth="1"/>
          <w:docGrid w:linePitch="360"/>
        </w:sectPr>
      </w:pPr>
      <w:r/>
      <w:r/>
    </w:p>
    <w:tbl>
      <w:tblPr>
        <w:tblW w:w="164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"/>
        <w:gridCol w:w="2994"/>
        <w:gridCol w:w="1178"/>
        <w:gridCol w:w="1612"/>
        <w:gridCol w:w="1274"/>
        <w:gridCol w:w="1381"/>
        <w:gridCol w:w="1074"/>
        <w:gridCol w:w="575"/>
        <w:gridCol w:w="1381"/>
        <w:gridCol w:w="1074"/>
        <w:gridCol w:w="509"/>
        <w:gridCol w:w="1381"/>
        <w:gridCol w:w="1074"/>
        <w:gridCol w:w="645"/>
      </w:tblGrid>
      <w:tr>
        <w:tblPrEx/>
        <w:trPr>
          <w:jc w:val="center"/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</w:r>
            <w:r>
              <w:rPr>
                <w:rFonts w:ascii="Arial CYR" w:hAnsi="Arial CYR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</w:r>
            <w:r>
              <w:rPr>
                <w:rFonts w:ascii="Arial CYR" w:hAnsi="Arial CYR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</w:r>
            <w:r>
              <w:rPr>
                <w:rFonts w:ascii="Arial CYR" w:hAnsi="Arial CYR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</w:r>
            <w:r>
              <w:rPr>
                <w:rFonts w:ascii="Arial CYR" w:hAnsi="Arial CYR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</w:r>
            <w:r>
              <w:rPr>
                <w:rFonts w:ascii="Arial CYR" w:hAnsi="Arial CYR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</w:r>
            <w:r>
              <w:rPr>
                <w:rFonts w:ascii="Arial CYR" w:hAnsi="Arial CYR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</w:r>
            <w:r>
              <w:rPr>
                <w:rFonts w:ascii="Arial CYR" w:hAnsi="Arial CYR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</w:r>
            <w:r>
              <w:rPr>
                <w:rFonts w:ascii="Arial CYR" w:hAnsi="Arial CYR"/>
              </w:rPr>
            </w:r>
          </w:p>
        </w:tc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Приложение №1 к Договору № ________  от _______20___г.</w:t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2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ГРО: АО "Рязаньгоргаз"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</w:r>
            <w:r>
              <w:rPr>
                <w:rFonts w:ascii="Arial CYR" w:hAnsi="Arial CYR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rPr>
                <w:rFonts w:ascii="Arial CYR" w:hAnsi="Arial CYR"/>
              </w:rPr>
            </w:pPr>
            <w:r>
              <w:rPr>
                <w:rFonts w:ascii="Arial CYR" w:hAnsi="Arial CYR"/>
              </w:rPr>
            </w:r>
            <w:r>
              <w:rPr>
                <w:rFonts w:ascii="Arial CYR" w:hAnsi="Arial CYR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</w:tr>
      <w:tr>
        <w:tblPrEx/>
        <w:trPr>
          <w:jc w:val="center"/>
          <w:trHeight w:val="323"/>
        </w:trPr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Потребитель: _______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</w:tr>
      <w:tr>
        <w:tblPrEx/>
        <w:trPr>
          <w:jc w:val="center"/>
          <w:trHeight w:val="407"/>
        </w:trPr>
        <w:tc>
          <w:tcPr>
            <w:gridSpan w:val="8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Акт об оказании услуг по транспортировке газа № _______                                   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_______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от _________ 20___ г.</w:t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381"/>
        </w:trPr>
        <w:tc>
          <w:tcPr>
            <w:gridSpan w:val="1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по договору № ________от ______ 20___г.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  <w:trHeight w:val="38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1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за  расчетный период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с "01" по "_____" ________  20___ г.</w:t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</w:tr>
      <w:tr>
        <w:tblPrEx/>
        <w:trPr>
          <w:jc w:val="center"/>
          <w:trHeight w:val="89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услуги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Фактический объем газа, тыс.куб.м.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Тариф транспортировки газа без НДС, руб. за 1 тыс.куб.м.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Специальная надбавка без НДС, руб. за 1 тыс.куб.м.</w:t>
            </w:r>
            <w:r>
              <w:rPr>
                <w:sz w:val="18"/>
                <w:szCs w:val="18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без учета НДС, руб.</w:t>
            </w:r>
            <w:r>
              <w:rPr>
                <w:sz w:val="18"/>
                <w:szCs w:val="18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НДС, руб.</w:t>
            </w:r>
            <w:r>
              <w:rPr>
                <w:sz w:val="18"/>
                <w:szCs w:val="18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Стоимость услуг по транспортировке газа с учетом НДС, руб.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81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Транспортировка газа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Специальная надбавка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без учета НДС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Транспортировка газа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Специальная надбавка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НДС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Транспортировка газа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Специальная надбавка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с учетом НДС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43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Услуги по транспортировке газа, всего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2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числе: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bottom"/>
            <w:textDirection w:val="lrTb"/>
            <w:noWrap/>
          </w:tcPr>
          <w:p>
            <w:r>
              <w:t xml:space="preserve"> </w:t>
            </w:r>
            <w:r/>
          </w:p>
        </w:tc>
      </w:tr>
      <w:tr>
        <w:tblPrEx/>
        <w:trPr>
          <w:jc w:val="center"/>
          <w:trHeight w:val="51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пределах договора:                                                                       группа ( от ________ млн.куб.м. включительно)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</w:tr>
      <w:tr>
        <w:tblPrEx/>
        <w:trPr>
          <w:jc w:val="center"/>
          <w:trHeight w:val="45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Сверх договора итого, в том числе: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 </w:t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 </w:t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</w:tr>
      <w:tr>
        <w:tblPrEx/>
        <w:trPr>
          <w:jc w:val="center"/>
          <w:trHeight w:val="31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 с коэффициентом 1,1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 </w:t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 </w:t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</w:tr>
      <w:tr>
        <w:tblPrEx/>
        <w:trPr>
          <w:jc w:val="center"/>
          <w:trHeight w:val="38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 с коэффициентом 1,5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 </w:t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 </w:t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>
              <w:t xml:space="preserve"> </w:t>
            </w:r>
            <w:r/>
          </w:p>
        </w:tc>
      </w:tr>
      <w:tr>
        <w:tblPrEx/>
        <w:trPr>
          <w:jc w:val="center"/>
          <w:trHeight w:val="26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</w:tr>
      <w:tr>
        <w:tblPrEx/>
        <w:trPr>
          <w:jc w:val="center"/>
          <w:trHeight w:val="43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/>
          </w:tcPr>
          <w:p>
            <w:r>
              <w:t xml:space="preserve">Стоимость услуг составляет: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876"/>
        </w:trPr>
        <w:tc>
          <w:tcPr>
            <w:gridSpan w:val="1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r>
              <w:t xml:space="preserve">     Мы, нижеподписавшиеся, представитель Потребителя - _______________________(должность, ФИО), действующий(ая) на основании __</w:t>
            </w:r>
            <w:r>
              <w:t xml:space="preserve">_______, с одной стороны, и представитель ГРО - _____________________(должность, ФИО), действующий(ая) на основании __________, с другой стороны, составили настоящий акт о том, что оказанные услуги удовлетворяют условиям договора № _______ от _____20___ г.</w:t>
            </w:r>
            <w:r/>
          </w:p>
        </w:tc>
      </w:tr>
      <w:tr>
        <w:tblPrEx/>
        <w:trPr>
          <w:jc w:val="center"/>
          <w:trHeight w:val="32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</w:tr>
      <w:tr>
        <w:tblPrEx/>
        <w:trPr>
          <w:jc w:val="center"/>
          <w:trHeight w:val="26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</w:tr>
      <w:tr>
        <w:tblPrEx/>
        <w:trPr>
          <w:jc w:val="center"/>
          <w:trHeight w:val="67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Работу сдал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Работу принял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</w:tr>
      <w:tr>
        <w:tblPrEx/>
        <w:trPr>
          <w:jc w:val="center"/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от ГРО:     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center"/>
            </w:pPr>
            <w:r>
              <w:t xml:space="preserve">м.п.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center"/>
            <w:textDirection w:val="lrTb"/>
            <w:noWrap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от Потребителя:   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jc w:val="right"/>
            </w:pPr>
            <w:r>
              <w:t xml:space="preserve">м.п.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</w:tr>
      <w:tr>
        <w:tblPrEx/>
        <w:trPr>
          <w:jc w:val="center"/>
          <w:trHeight w:val="25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</w:tr>
      <w:tr>
        <w:tblPrEx/>
        <w:trPr>
          <w:jc w:val="center"/>
          <w:trHeight w:val="313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>
              <w:t xml:space="preserve">__________________/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>
              <w:t xml:space="preserve">__________________/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0" w:type="auto"/>
            <w:vAlign w:val="bottom"/>
            <w:textDirection w:val="lrTb"/>
            <w:noWrap/>
          </w:tcPr>
          <w:p>
            <w:r/>
            <w:r/>
          </w:p>
        </w:tc>
      </w:tr>
    </w:tbl>
    <w:p>
      <w:r/>
      <w:r/>
    </w:p>
    <w:p>
      <w:pPr>
        <w:pStyle w:val="798"/>
        <w:sectPr>
          <w:headerReference w:type="default" r:id="rId10"/>
          <w:footerReference w:type="default" r:id="rId13"/>
          <w:footnotePr/>
          <w:endnotePr/>
          <w:type w:val="nextPage"/>
          <w:pgSz w:w="16838" w:h="11906" w:orient="landscape"/>
          <w:pgMar w:top="281" w:right="709" w:bottom="709" w:left="568" w:header="0" w:footer="0" w:gutter="0"/>
          <w:cols w:num="1" w:sep="0" w:space="720" w:equalWidth="1"/>
          <w:docGrid w:linePitch="360"/>
        </w:sectPr>
      </w:pPr>
      <w:r/>
      <w:r/>
    </w:p>
    <w:p>
      <w:pPr>
        <w:jc w:val="right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</w:t>
      </w:r>
      <w:r>
        <w:rPr>
          <w:b/>
          <w:sz w:val="18"/>
          <w:szCs w:val="18"/>
        </w:rPr>
        <w:t xml:space="preserve">Приложение №2 к Договору № </w:t>
      </w:r>
      <w:r>
        <w:rPr>
          <w:b/>
          <w:sz w:val="18"/>
          <w:szCs w:val="18"/>
        </w:rPr>
        <w:t xml:space="preserve">________</w:t>
      </w:r>
      <w:r>
        <w:rPr>
          <w:b/>
          <w:sz w:val="18"/>
          <w:szCs w:val="18"/>
        </w:rPr>
        <w:t xml:space="preserve"> от </w:t>
      </w:r>
      <w:r>
        <w:rPr>
          <w:b/>
          <w:sz w:val="18"/>
          <w:szCs w:val="18"/>
        </w:rPr>
        <w:t xml:space="preserve">_____ 20___</w:t>
      </w:r>
      <w:r>
        <w:rPr>
          <w:b/>
          <w:sz w:val="18"/>
          <w:szCs w:val="18"/>
        </w:rPr>
        <w:t xml:space="preserve">г.</w:t>
      </w:r>
      <w:r>
        <w:rPr>
          <w:b/>
          <w:sz w:val="18"/>
          <w:szCs w:val="1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Данные о фактическом объеме газа  </w:t>
      </w:r>
      <w:r>
        <w:rPr>
          <w:b/>
          <w:sz w:val="22"/>
          <w:szCs w:val="22"/>
        </w:rPr>
        <w:t xml:space="preserve">_________</w:t>
      </w:r>
      <w:r>
        <w:rPr>
          <w:b/>
          <w:sz w:val="22"/>
          <w:szCs w:val="22"/>
        </w:rPr>
      </w:r>
    </w:p>
    <w:p>
      <w:pPr>
        <w:jc w:val="center"/>
        <w:rPr>
          <w:b/>
        </w:rPr>
      </w:pPr>
      <w:r>
        <w:rPr>
          <w:b/>
        </w:rPr>
        <w:t xml:space="preserve">по Договору транспортировки газа №</w:t>
      </w:r>
      <w:r>
        <w:rPr>
          <w:b/>
        </w:rPr>
        <w:t xml:space="preserve"> _________</w:t>
      </w:r>
      <w:r>
        <w:rPr>
          <w:b/>
        </w:rPr>
        <w:t xml:space="preserve"> от </w:t>
      </w:r>
      <w:r>
        <w:rPr>
          <w:b/>
        </w:rPr>
        <w:t xml:space="preserve">_______</w:t>
      </w:r>
      <w:r>
        <w:rPr>
          <w:b/>
        </w:rPr>
        <w:t xml:space="preserve"> </w:t>
      </w:r>
      <w:r>
        <w:rPr>
          <w:b/>
        </w:rPr>
        <w:t xml:space="preserve">20___</w:t>
      </w:r>
      <w:r>
        <w:rPr>
          <w:b/>
        </w:rPr>
        <w:t xml:space="preserve">г.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за период с «01» __</w:t>
      </w:r>
      <w:r>
        <w:rPr>
          <w:b/>
        </w:rPr>
        <w:t xml:space="preserve">_______ по «____» __________ 20___</w:t>
      </w:r>
      <w:r>
        <w:rPr>
          <w:b/>
        </w:rPr>
        <w:t xml:space="preserve">г.</w:t>
      </w:r>
      <w:r>
        <w:rPr>
          <w:b/>
        </w:rPr>
      </w:r>
    </w:p>
    <w:p>
      <w:pPr>
        <w:jc w:val="center"/>
      </w:pPr>
      <w:r/>
      <w:r/>
    </w:p>
    <w:p>
      <w:r/>
      <w:r/>
    </w:p>
    <w:p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735"/>
        <w:gridCol w:w="1210"/>
        <w:gridCol w:w="1276"/>
        <w:gridCol w:w="1924"/>
        <w:gridCol w:w="1037"/>
        <w:gridCol w:w="973"/>
      </w:tblGrid>
      <w:tr>
        <w:tblPrEx/>
        <w:trPr>
          <w:trHeight w:val="625"/>
        </w:trPr>
        <w:tc>
          <w:tcPr>
            <w:gridSpan w:val="7"/>
            <w:tcW w:w="957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Месяц ________ год_______</w:t>
            </w:r>
            <w:r/>
          </w:p>
        </w:tc>
      </w:tr>
      <w:tr>
        <w:tblPrEx/>
        <w:trPr/>
        <w:tc>
          <w:tcPr>
            <w:tcW w:w="141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№ договора</w:t>
            </w:r>
            <w:r/>
          </w:p>
        </w:tc>
        <w:tc>
          <w:tcPr>
            <w:tcW w:w="1735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t xml:space="preserve">Наименование объекта и его местонахождение</w:t>
            </w:r>
            <w:r/>
          </w:p>
        </w:tc>
        <w:tc>
          <w:tcPr>
            <w:tcW w:w="12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Дата             (дни месяца)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Объемы по договору, тыс</w:t>
            </w:r>
            <w:r>
              <w:t xml:space="preserve">.м³</w:t>
            </w:r>
            <w:r/>
          </w:p>
        </w:tc>
        <w:tc>
          <w:tcPr>
            <w:tcW w:w="192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Объемы по договору</w:t>
            </w:r>
            <w:r>
              <w:t xml:space="preserve"> с учетом неравномерности</w:t>
            </w:r>
            <w:r>
              <w:t xml:space="preserve">, тыс.м</w:t>
            </w:r>
            <w:r>
              <w:t xml:space="preserve">³</w:t>
            </w:r>
            <w:r/>
          </w:p>
        </w:tc>
        <w:tc>
          <w:tcPr>
            <w:tcW w:w="103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Факт, тыс.м</w:t>
            </w:r>
            <w:r>
              <w:t xml:space="preserve">³</w:t>
            </w:r>
            <w:r/>
          </w:p>
        </w:tc>
        <w:tc>
          <w:tcPr>
            <w:tcW w:w="97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(+/_)</w:t>
            </w:r>
            <w:r/>
          </w:p>
        </w:tc>
      </w:tr>
      <w:tr>
        <w:tblPrEx/>
        <w:trPr/>
        <w:tc>
          <w:tcPr>
            <w:tcW w:w="1416" w:type="dxa"/>
            <w:vMerge w:val="restart"/>
            <w:textDirection w:val="lrTb"/>
            <w:noWrap w:val="false"/>
          </w:tcPr>
          <w:p>
            <w:r>
              <w:t xml:space="preserve">____________</w:t>
            </w:r>
            <w:r/>
          </w:p>
        </w:tc>
        <w:tc>
          <w:tcPr>
            <w:tcW w:w="1735" w:type="dxa"/>
            <w:vMerge w:val="restart"/>
            <w:textDirection w:val="lrTb"/>
            <w:noWrap w:val="false"/>
          </w:tcPr>
          <w:p>
            <w:pPr>
              <w:spacing w:line="276" w:lineRule="auto"/>
              <w:widowControl w:val="off"/>
              <w:tabs>
                <w:tab w:val="left" w:pos="1440" w:leader="none"/>
                <w:tab w:val="left" w:pos="1620" w:leader="none"/>
                <w:tab w:val="num" w:pos="1875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</w:t>
            </w:r>
            <w:r>
              <w:rPr>
                <w:sz w:val="18"/>
                <w:szCs w:val="18"/>
              </w:rPr>
            </w:r>
          </w:p>
        </w:tc>
        <w:tc>
          <w:tcPr>
            <w:tcW w:w="1210" w:type="dxa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textDirection w:val="lrTb"/>
            <w:noWrap w:val="false"/>
          </w:tcPr>
          <w:p>
            <w:r/>
            <w:r/>
          </w:p>
        </w:tc>
        <w:tc>
          <w:tcPr>
            <w:tcW w:w="97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4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10" w:type="dxa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textDirection w:val="lrTb"/>
            <w:noWrap w:val="false"/>
          </w:tcPr>
          <w:p>
            <w:r/>
            <w:r/>
          </w:p>
        </w:tc>
        <w:tc>
          <w:tcPr>
            <w:tcW w:w="97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4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10" w:type="dxa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textDirection w:val="lrTb"/>
            <w:noWrap w:val="false"/>
          </w:tcPr>
          <w:p>
            <w:r/>
            <w:r/>
          </w:p>
        </w:tc>
        <w:tc>
          <w:tcPr>
            <w:tcW w:w="97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4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10" w:type="dxa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textDirection w:val="lrTb"/>
            <w:noWrap w:val="false"/>
          </w:tcPr>
          <w:p>
            <w:r/>
            <w:r/>
          </w:p>
        </w:tc>
        <w:tc>
          <w:tcPr>
            <w:tcW w:w="97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4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10" w:type="dxa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textDirection w:val="lrTb"/>
            <w:noWrap w:val="false"/>
          </w:tcPr>
          <w:p>
            <w:r/>
            <w:r/>
          </w:p>
        </w:tc>
        <w:tc>
          <w:tcPr>
            <w:tcW w:w="97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4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10" w:type="dxa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textDirection w:val="lrTb"/>
            <w:noWrap w:val="false"/>
          </w:tcPr>
          <w:p>
            <w:r/>
            <w:r/>
          </w:p>
        </w:tc>
        <w:tc>
          <w:tcPr>
            <w:tcW w:w="97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4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10" w:type="dxa"/>
            <w:textDirection w:val="lrTb"/>
            <w:noWrap w:val="false"/>
          </w:tcPr>
          <w:p>
            <w:r>
              <w:t xml:space="preserve">Итого: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r/>
            <w:r/>
          </w:p>
        </w:tc>
        <w:tc>
          <w:tcPr>
            <w:tcW w:w="1924" w:type="dxa"/>
            <w:textDirection w:val="lrTb"/>
            <w:noWrap w:val="false"/>
          </w:tcPr>
          <w:p>
            <w:r/>
            <w:r/>
          </w:p>
        </w:tc>
        <w:tc>
          <w:tcPr>
            <w:tcW w:w="1037" w:type="dxa"/>
            <w:textDirection w:val="lrTb"/>
            <w:noWrap w:val="false"/>
          </w:tcPr>
          <w:p>
            <w:r/>
            <w:r/>
          </w:p>
        </w:tc>
        <w:tc>
          <w:tcPr>
            <w:tcW w:w="973" w:type="dxa"/>
            <w:textDirection w:val="lrTb"/>
            <w:noWrap w:val="false"/>
          </w:tcPr>
          <w:p>
            <w:r/>
            <w:r/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от Потребителя: _______________       _____________</w:t>
      </w:r>
      <w:r/>
    </w:p>
    <w:p>
      <w:pPr>
        <w:tabs>
          <w:tab w:val="center" w:pos="2127" w:leader="none"/>
          <w:tab w:val="center" w:pos="3969" w:leader="none"/>
        </w:tabs>
        <w:rPr>
          <w:lang w:val="en-US"/>
        </w:rPr>
      </w:pPr>
      <w:r>
        <w:tab/>
      </w:r>
      <w:r>
        <w:t xml:space="preserve">(должность)</w:t>
      </w:r>
      <w:r>
        <w:tab/>
      </w:r>
      <w:r>
        <w:t xml:space="preserve">(Ф.И.О.)</w:t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r/>
      <w:r/>
    </w:p>
    <w:p>
      <w:pPr>
        <w:rPr>
          <w:sz w:val="16"/>
          <w:szCs w:val="16"/>
        </w:rPr>
      </w:pPr>
      <w:r/>
      <w:bookmarkStart w:id="0" w:name="_GoBack"/>
      <w:r/>
      <w:bookmarkEnd w:id="0"/>
      <w:r>
        <w:rPr>
          <w:sz w:val="16"/>
          <w:szCs w:val="16"/>
        </w:rPr>
        <w:t xml:space="preserve">м.п.</w:t>
      </w:r>
      <w:r>
        <w:rPr>
          <w:sz w:val="16"/>
          <w:szCs w:val="16"/>
        </w:rPr>
      </w:r>
    </w:p>
    <w:p>
      <w:r/>
      <w:r/>
    </w:p>
    <w:p>
      <w:r/>
      <w:r/>
    </w:p>
    <w:p>
      <w:r/>
      <w:r/>
    </w:p>
    <w:p>
      <w:pPr>
        <w:pStyle w:val="798"/>
      </w:pPr>
      <w:r/>
      <w:r/>
    </w:p>
    <w:p>
      <w:pPr>
        <w:pStyle w:val="798"/>
      </w:pPr>
      <w:r/>
      <w:r/>
    </w:p>
    <w:sectPr>
      <w:footnotePr/>
      <w:endnotePr/>
      <w:type w:val="nextPage"/>
      <w:pgSz w:w="11906" w:h="16838" w:orient="portrait"/>
      <w:pgMar w:top="709" w:right="709" w:bottom="568" w:left="1276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ahoma">
    <w:panose1 w:val="020B0604030504040204"/>
  </w:font>
  <w:font w:name="Courier New">
    <w:panose1 w:val="02070309020205020404"/>
  </w:font>
  <w:font w:name="Helvetica">
    <w:panose1 w:val="020B0604020202020204"/>
  </w:font>
  <w:font w:name="Calibri">
    <w:panose1 w:val="020F0502020204030204"/>
  </w:font>
  <w:font w:name="Times New Roman">
    <w:panose1 w:val="02020603050405020304"/>
  </w:font>
  <w:font w:name="Arial CYR">
    <w:panose1 w:val="020B06040202020202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  <w:rPr>
        <w:rStyle w:val="795"/>
      </w:rPr>
      <w:framePr w:wrap="around" w:vAnchor="text" w:hAnchor="page" w:x="11089" w:y="14"/>
    </w:pPr>
    <w:r>
      <w:rPr>
        <w:rStyle w:val="795"/>
      </w:rPr>
      <w:fldChar w:fldCharType="begin"/>
    </w:r>
    <w:r>
      <w:rPr>
        <w:rStyle w:val="795"/>
      </w:rPr>
      <w:instrText xml:space="preserve">PAGE  </w:instrText>
    </w:r>
    <w:r>
      <w:rPr>
        <w:rStyle w:val="795"/>
      </w:rPr>
      <w:fldChar w:fldCharType="separate"/>
    </w:r>
    <w:r>
      <w:rPr>
        <w:rStyle w:val="795"/>
      </w:rPr>
      <w:t xml:space="preserve">5</w:t>
    </w:r>
    <w:r>
      <w:rPr>
        <w:rStyle w:val="795"/>
      </w:rPr>
      <w:fldChar w:fldCharType="end"/>
    </w:r>
    <w:r>
      <w:rPr>
        <w:rStyle w:val="795"/>
      </w:rPr>
    </w:r>
  </w:p>
  <w:p>
    <w:pPr>
      <w:pStyle w:val="79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  <w:rPr>
        <w:rStyle w:val="795"/>
      </w:rPr>
      <w:framePr w:wrap="around" w:vAnchor="text" w:hAnchor="margin" w:xAlign="center" w:y="1"/>
    </w:pPr>
    <w:r>
      <w:rPr>
        <w:rStyle w:val="795"/>
      </w:rPr>
      <w:fldChar w:fldCharType="begin"/>
    </w:r>
    <w:r>
      <w:rPr>
        <w:rStyle w:val="795"/>
      </w:rPr>
      <w:instrText xml:space="preserve">PAGE  </w:instrText>
    </w:r>
    <w:r>
      <w:rPr>
        <w:rStyle w:val="795"/>
      </w:rPr>
      <w:fldChar w:fldCharType="end"/>
    </w:r>
    <w:r>
      <w:rPr>
        <w:rStyle w:val="795"/>
      </w:rPr>
    </w:r>
  </w:p>
  <w:p>
    <w:pPr>
      <w:pStyle w:val="79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7</w:t>
    </w:r>
    <w:r>
      <w:fldChar w:fldCharType="end"/>
    </w:r>
    <w:r/>
  </w:p>
  <w:p>
    <w:pPr>
      <w:pStyle w:val="79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rPr>
        <w:sz w:val="16"/>
        <w:szCs w:val="16"/>
      </w:rPr>
    </w:pPr>
    <w:r>
      <w:rPr>
        <w:sz w:val="16"/>
        <w:szCs w:val="16"/>
      </w:rPr>
      <w:t xml:space="preserve">__________________________________________________________________________________________________________________________</w:t>
    </w:r>
    <w:r>
      <w:rPr>
        <w:sz w:val="16"/>
        <w:szCs w:val="16"/>
      </w:rPr>
    </w:r>
  </w:p>
  <w:p>
    <w:pPr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rPr>
        <w:sz w:val="16"/>
        <w:szCs w:val="16"/>
      </w:rPr>
    </w:pPr>
    <w:r>
      <w:rPr>
        <w:sz w:val="16"/>
        <w:szCs w:val="16"/>
      </w:rPr>
      <w:t xml:space="preserve">__________________________________________________________________________________________________________________________</w:t>
    </w:r>
    <w:r>
      <w:rPr>
        <w:sz w:val="16"/>
        <w:szCs w:val="1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875" w:hanging="435"/>
        <w:tabs>
          <w:tab w:val="num" w:pos="1875" w:leader="none"/>
        </w:tabs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  <w:tabs>
          <w:tab w:val="num" w:pos="1440" w:leader="none"/>
        </w:tabs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  <w:tabs>
          <w:tab w:val="num" w:pos="1800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  <w:tabs>
          <w:tab w:val="num" w:pos="288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  <w:tabs>
          <w:tab w:val="num" w:pos="3600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  <w:tabs>
          <w:tab w:val="num" w:pos="3960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  <w:tabs>
          <w:tab w:val="num" w:pos="4680" w:leader="none"/>
        </w:tabs>
      </w:pPr>
      <w:rPr>
        <w:rFonts w:hint="default" w:cs="Times New Roman"/>
      </w:rPr>
    </w:lvl>
  </w:abstractNum>
  <w:abstractNum w:abstractNumId="1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1249" w:hanging="540"/>
        <w:tabs>
          <w:tab w:val="num" w:pos="1249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  <w:tabs>
          <w:tab w:val="num" w:pos="2138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  <w:tabs>
          <w:tab w:val="num" w:pos="2847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  <w:tabs>
          <w:tab w:val="num" w:pos="3916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  <w:tabs>
          <w:tab w:val="num" w:pos="4625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  <w:tabs>
          <w:tab w:val="num" w:pos="5694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  <w:tabs>
          <w:tab w:val="num" w:pos="6403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  <w:tabs>
          <w:tab w:val="num" w:pos="7472" w:leader="none"/>
        </w:tabs>
      </w:pPr>
      <w:rPr>
        <w:rFonts w:hint="default" w:cs="Times New Roman"/>
      </w:r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0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260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  <w:rPr>
        <w:rFonts w:hint="default" w:cs="Times New Roman"/>
      </w:r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795" w:hanging="435"/>
        <w:tabs>
          <w:tab w:val="num" w:pos="795" w:leader="none"/>
        </w:tabs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  <w:tabs>
          <w:tab w:val="num" w:pos="1440" w:leader="none"/>
        </w:tabs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  <w:tabs>
          <w:tab w:val="num" w:pos="1800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  <w:tabs>
          <w:tab w:val="num" w:pos="288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  <w:tabs>
          <w:tab w:val="num" w:pos="3600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  <w:tabs>
          <w:tab w:val="num" w:pos="3960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  <w:tabs>
          <w:tab w:val="num" w:pos="4680" w:leader="none"/>
        </w:tabs>
      </w:pPr>
      <w:rPr>
        <w:rFonts w:hint="default" w:cs="Times New Roman"/>
      </w:rPr>
    </w:lvl>
  </w:abstractNum>
  <w:abstractNum w:abstractNumId="12">
    <w:multiLevelType w:val="hybridMultilevel"/>
    <w:lvl w:ilvl="0">
      <w:start w:val="30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540" w:hanging="360"/>
        <w:tabs>
          <w:tab w:val="num" w:pos="354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795" w:hanging="435"/>
        <w:tabs>
          <w:tab w:val="num" w:pos="795" w:leader="none"/>
        </w:tabs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  <w:tabs>
          <w:tab w:val="num" w:pos="1440" w:leader="none"/>
        </w:tabs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720"/>
        <w:tabs>
          <w:tab w:val="num" w:pos="1800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080"/>
        <w:tabs>
          <w:tab w:val="num" w:pos="288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3600" w:hanging="1440"/>
        <w:tabs>
          <w:tab w:val="num" w:pos="3600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960" w:hanging="1440"/>
        <w:tabs>
          <w:tab w:val="num" w:pos="3960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680" w:hanging="1800"/>
        <w:tabs>
          <w:tab w:val="num" w:pos="4680" w:leader="none"/>
        </w:tabs>
      </w:pPr>
      <w:rPr>
        <w:rFonts w:hint="default" w:cs="Times New Roman"/>
      </w:rPr>
    </w:lvl>
  </w:abstractNum>
  <w:abstractNum w:abstractNumId="1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260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  <w:rPr>
        <w:rFonts w:hint="default" w:cs="Times New Roman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84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56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28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400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72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44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616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88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605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26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927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287" w:hanging="360"/>
      </w:pPr>
      <w:rPr>
        <w:rFonts w:hint="default" w:cs="Times New Roman"/>
      </w:rPr>
    </w:lvl>
    <w:lvl w:ilvl="1">
      <w:start w:val="4"/>
      <w:numFmt w:val="decimal"/>
      <w:isLgl/>
      <w:suff w:val="tab"/>
      <w:lvlText w:val="%1.%2."/>
      <w:lvlJc w:val="left"/>
      <w:pPr>
        <w:ind w:left="1287" w:hanging="360"/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647" w:hanging="720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720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2007" w:hanging="1080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080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440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440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1800"/>
      </w:pPr>
      <w:rPr>
        <w:rFonts w:hint="default" w:cs="Times New Roman"/>
      </w:rPr>
    </w:lvl>
  </w:abstractNum>
  <w:abstractNum w:abstractNumId="22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1944" w:hanging="540"/>
        <w:tabs>
          <w:tab w:val="num" w:pos="1944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6"/>
  </w:num>
  <w:num w:numId="3">
    <w:abstractNumId w:val="22"/>
  </w:num>
  <w:num w:numId="4">
    <w:abstractNumId w:val="13"/>
  </w:num>
  <w:num w:numId="5">
    <w:abstractNumId w:val="7"/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16"/>
  </w:num>
  <w:num w:numId="12">
    <w:abstractNumId w:val="3"/>
  </w:num>
  <w:num w:numId="13">
    <w:abstractNumId w:val="17"/>
  </w:num>
  <w:num w:numId="14">
    <w:abstractNumId w:val="14"/>
  </w:num>
  <w:num w:numId="15">
    <w:abstractNumId w:val="20"/>
  </w:num>
  <w:num w:numId="16">
    <w:abstractNumId w:val="21"/>
  </w:num>
  <w:num w:numId="17">
    <w:abstractNumId w:val="12"/>
  </w:num>
  <w:num w:numId="18">
    <w:abstractNumId w:val="9"/>
  </w:num>
  <w:num w:numId="19">
    <w:abstractNumId w:val="4"/>
  </w:num>
  <w:num w:numId="20">
    <w:abstractNumId w:val="15"/>
  </w:num>
  <w:num w:numId="21">
    <w:abstractNumId w:val="10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79"/>
    <w:link w:val="77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79"/>
    <w:link w:val="77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75"/>
    <w:next w:val="77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79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79"/>
    <w:link w:val="778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75"/>
    <w:next w:val="77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7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75"/>
    <w:next w:val="77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7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75"/>
    <w:next w:val="77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7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75"/>
    <w:next w:val="77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7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75"/>
    <w:next w:val="77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7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75"/>
    <w:next w:val="77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79"/>
    <w:link w:val="34"/>
    <w:uiPriority w:val="10"/>
    <w:rPr>
      <w:sz w:val="48"/>
      <w:szCs w:val="48"/>
    </w:rPr>
  </w:style>
  <w:style w:type="paragraph" w:styleId="36">
    <w:name w:val="Subtitle"/>
    <w:basedOn w:val="775"/>
    <w:next w:val="77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79"/>
    <w:link w:val="36"/>
    <w:uiPriority w:val="11"/>
    <w:rPr>
      <w:sz w:val="24"/>
      <w:szCs w:val="24"/>
    </w:rPr>
  </w:style>
  <w:style w:type="paragraph" w:styleId="38">
    <w:name w:val="Quote"/>
    <w:basedOn w:val="775"/>
    <w:next w:val="77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75"/>
    <w:next w:val="77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79"/>
    <w:link w:val="796"/>
    <w:uiPriority w:val="99"/>
  </w:style>
  <w:style w:type="character" w:styleId="45">
    <w:name w:val="Footer Char"/>
    <w:basedOn w:val="779"/>
    <w:link w:val="793"/>
    <w:uiPriority w:val="99"/>
  </w:style>
  <w:style w:type="paragraph" w:styleId="46">
    <w:name w:val="Caption"/>
    <w:basedOn w:val="775"/>
    <w:next w:val="7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93"/>
    <w:uiPriority w:val="99"/>
  </w:style>
  <w:style w:type="table" w:styleId="49">
    <w:name w:val="Table Grid Light"/>
    <w:basedOn w:val="7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7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79"/>
    <w:uiPriority w:val="99"/>
    <w:unhideWhenUsed/>
    <w:rPr>
      <w:vertAlign w:val="superscript"/>
    </w:rPr>
  </w:style>
  <w:style w:type="paragraph" w:styleId="178">
    <w:name w:val="endnote text"/>
    <w:basedOn w:val="77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79"/>
    <w:uiPriority w:val="99"/>
    <w:semiHidden/>
    <w:unhideWhenUsed/>
    <w:rPr>
      <w:vertAlign w:val="superscript"/>
    </w:rPr>
  </w:style>
  <w:style w:type="paragraph" w:styleId="181">
    <w:name w:val="toc 1"/>
    <w:basedOn w:val="775"/>
    <w:next w:val="77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75"/>
    <w:next w:val="77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75"/>
    <w:next w:val="77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75"/>
    <w:next w:val="77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75"/>
    <w:next w:val="77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75"/>
    <w:next w:val="77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75"/>
    <w:next w:val="77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75"/>
    <w:next w:val="77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75"/>
    <w:next w:val="77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75"/>
    <w:next w:val="775"/>
    <w:uiPriority w:val="99"/>
    <w:unhideWhenUsed/>
    <w:pPr>
      <w:spacing w:after="0" w:afterAutospacing="0"/>
    </w:pPr>
  </w:style>
  <w:style w:type="paragraph" w:styleId="775" w:default="1">
    <w:name w:val="Normal"/>
    <w:qFormat/>
  </w:style>
  <w:style w:type="paragraph" w:styleId="776">
    <w:name w:val="Heading 1"/>
    <w:basedOn w:val="775"/>
    <w:next w:val="775"/>
    <w:link w:val="782"/>
    <w:uiPriority w:val="99"/>
    <w:qFormat/>
    <w:pPr>
      <w:jc w:val="both"/>
      <w:keepNext/>
      <w:outlineLvl w:val="0"/>
    </w:pPr>
    <w:rPr>
      <w:sz w:val="24"/>
    </w:rPr>
  </w:style>
  <w:style w:type="paragraph" w:styleId="777">
    <w:name w:val="Heading 2"/>
    <w:basedOn w:val="775"/>
    <w:next w:val="775"/>
    <w:link w:val="783"/>
    <w:uiPriority w:val="99"/>
    <w:qFormat/>
    <w:pPr>
      <w:jc w:val="center"/>
      <w:keepNext/>
      <w:outlineLvl w:val="1"/>
    </w:pPr>
    <w:rPr>
      <w:b/>
      <w:sz w:val="24"/>
    </w:rPr>
  </w:style>
  <w:style w:type="paragraph" w:styleId="778">
    <w:name w:val="Heading 4"/>
    <w:basedOn w:val="775"/>
    <w:next w:val="775"/>
    <w:link w:val="784"/>
    <w:uiPriority w:val="99"/>
    <w:qFormat/>
    <w:pPr>
      <w:jc w:val="both"/>
      <w:keepNext/>
      <w:outlineLvl w:val="3"/>
    </w:pPr>
    <w:rPr>
      <w:b/>
      <w:sz w:val="24"/>
    </w:rPr>
  </w:style>
  <w:style w:type="character" w:styleId="779" w:default="1">
    <w:name w:val="Default Paragraph Font"/>
    <w:uiPriority w:val="1"/>
    <w:semiHidden/>
    <w:unhideWhenUsed/>
  </w:style>
  <w:style w:type="table" w:styleId="7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1" w:default="1">
    <w:name w:val="No List"/>
    <w:uiPriority w:val="99"/>
    <w:semiHidden/>
    <w:unhideWhenUsed/>
  </w:style>
  <w:style w:type="character" w:styleId="782" w:customStyle="1">
    <w:name w:val="Заголовок 1 Знак"/>
    <w:link w:val="776"/>
    <w:uiPriority w:val="99"/>
    <w:rPr>
      <w:rFonts w:ascii="Cambria" w:hAnsi="Cambria" w:cs="Times New Roman"/>
      <w:b/>
      <w:bCs/>
      <w:sz w:val="32"/>
      <w:szCs w:val="32"/>
    </w:rPr>
  </w:style>
  <w:style w:type="character" w:styleId="783" w:customStyle="1">
    <w:name w:val="Заголовок 2 Знак"/>
    <w:link w:val="777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784" w:customStyle="1">
    <w:name w:val="Заголовок 4 Знак"/>
    <w:link w:val="778"/>
    <w:uiPriority w:val="99"/>
    <w:semiHidden/>
    <w:rPr>
      <w:rFonts w:ascii="Calibri" w:hAnsi="Calibri" w:cs="Times New Roman"/>
      <w:b/>
      <w:bCs/>
      <w:sz w:val="28"/>
      <w:szCs w:val="28"/>
    </w:rPr>
  </w:style>
  <w:style w:type="paragraph" w:styleId="785">
    <w:name w:val="Body Text Indent"/>
    <w:basedOn w:val="775"/>
    <w:link w:val="786"/>
    <w:pPr>
      <w:ind w:left="360"/>
      <w:jc w:val="both"/>
    </w:pPr>
    <w:rPr>
      <w:sz w:val="24"/>
    </w:rPr>
  </w:style>
  <w:style w:type="character" w:styleId="786" w:customStyle="1">
    <w:name w:val="Основной текст с отступом Знак"/>
    <w:link w:val="785"/>
    <w:uiPriority w:val="99"/>
    <w:semiHidden/>
    <w:rPr>
      <w:rFonts w:cs="Times New Roman"/>
      <w:sz w:val="20"/>
      <w:szCs w:val="20"/>
    </w:rPr>
  </w:style>
  <w:style w:type="paragraph" w:styleId="787">
    <w:name w:val="Body Text"/>
    <w:basedOn w:val="775"/>
    <w:link w:val="788"/>
    <w:uiPriority w:val="99"/>
    <w:pPr>
      <w:jc w:val="both"/>
    </w:pPr>
    <w:rPr>
      <w:sz w:val="24"/>
    </w:rPr>
  </w:style>
  <w:style w:type="character" w:styleId="788" w:customStyle="1">
    <w:name w:val="Основной текст Знак"/>
    <w:link w:val="787"/>
    <w:uiPriority w:val="99"/>
    <w:semiHidden/>
    <w:rPr>
      <w:rFonts w:cs="Times New Roman"/>
      <w:sz w:val="20"/>
      <w:szCs w:val="20"/>
    </w:rPr>
  </w:style>
  <w:style w:type="paragraph" w:styleId="789">
    <w:name w:val="Body Text Indent 2"/>
    <w:basedOn w:val="775"/>
    <w:link w:val="790"/>
    <w:uiPriority w:val="99"/>
    <w:pPr>
      <w:ind w:firstLine="360"/>
      <w:jc w:val="both"/>
    </w:pPr>
    <w:rPr>
      <w:sz w:val="24"/>
    </w:rPr>
  </w:style>
  <w:style w:type="character" w:styleId="790" w:customStyle="1">
    <w:name w:val="Основной текст с отступом 2 Знак"/>
    <w:link w:val="789"/>
    <w:uiPriority w:val="99"/>
    <w:semiHidden/>
    <w:rPr>
      <w:rFonts w:cs="Times New Roman"/>
      <w:sz w:val="20"/>
      <w:szCs w:val="20"/>
    </w:rPr>
  </w:style>
  <w:style w:type="paragraph" w:styleId="791">
    <w:name w:val="Body Text Indent 3"/>
    <w:basedOn w:val="775"/>
    <w:link w:val="792"/>
    <w:pPr>
      <w:ind w:firstLine="360"/>
      <w:jc w:val="both"/>
    </w:pPr>
    <w:rPr>
      <w:sz w:val="28"/>
    </w:rPr>
  </w:style>
  <w:style w:type="character" w:styleId="792" w:customStyle="1">
    <w:name w:val="Основной текст с отступом 3 Знак"/>
    <w:link w:val="791"/>
    <w:uiPriority w:val="99"/>
    <w:semiHidden/>
    <w:rPr>
      <w:rFonts w:cs="Times New Roman"/>
      <w:sz w:val="16"/>
      <w:szCs w:val="16"/>
    </w:rPr>
  </w:style>
  <w:style w:type="paragraph" w:styleId="793">
    <w:name w:val="Footer"/>
    <w:basedOn w:val="775"/>
    <w:link w:val="794"/>
    <w:uiPriority w:val="99"/>
    <w:pPr>
      <w:tabs>
        <w:tab w:val="center" w:pos="4153" w:leader="none"/>
        <w:tab w:val="right" w:pos="8306" w:leader="none"/>
      </w:tabs>
    </w:pPr>
  </w:style>
  <w:style w:type="character" w:styleId="794" w:customStyle="1">
    <w:name w:val="Нижний колонтитул Знак"/>
    <w:link w:val="793"/>
    <w:uiPriority w:val="99"/>
    <w:rPr>
      <w:rFonts w:cs="Times New Roman"/>
    </w:rPr>
  </w:style>
  <w:style w:type="character" w:styleId="795">
    <w:name w:val="page number"/>
    <w:uiPriority w:val="99"/>
    <w:rPr>
      <w:rFonts w:cs="Times New Roman"/>
    </w:rPr>
  </w:style>
  <w:style w:type="paragraph" w:styleId="796">
    <w:name w:val="Header"/>
    <w:basedOn w:val="775"/>
    <w:link w:val="797"/>
    <w:uiPriority w:val="99"/>
    <w:pPr>
      <w:tabs>
        <w:tab w:val="center" w:pos="4153" w:leader="none"/>
        <w:tab w:val="right" w:pos="8306" w:leader="none"/>
      </w:tabs>
    </w:pPr>
  </w:style>
  <w:style w:type="character" w:styleId="797" w:customStyle="1">
    <w:name w:val="Верхний колонтитул Знак"/>
    <w:link w:val="796"/>
    <w:uiPriority w:val="99"/>
    <w:rPr>
      <w:rFonts w:cs="Times New Roman"/>
    </w:rPr>
  </w:style>
  <w:style w:type="paragraph" w:styleId="798" w:customStyle="1">
    <w:name w:val="Обычный1"/>
    <w:uiPriority w:val="99"/>
    <w:rPr>
      <w:rFonts w:ascii="Helvetica" w:hAnsi="Helvetica"/>
    </w:rPr>
  </w:style>
  <w:style w:type="paragraph" w:styleId="799" w:customStyle="1">
    <w:name w:val="Заголовок 11"/>
    <w:basedOn w:val="798"/>
    <w:next w:val="798"/>
    <w:uiPriority w:val="99"/>
    <w:pPr>
      <w:jc w:val="center"/>
      <w:keepNext/>
      <w:spacing w:before="120" w:after="120"/>
      <w:outlineLvl w:val="0"/>
    </w:pPr>
    <w:rPr>
      <w:rFonts w:ascii="Arial" w:hAnsi="Arial"/>
      <w:sz w:val="24"/>
    </w:rPr>
  </w:style>
  <w:style w:type="paragraph" w:styleId="800" w:customStyle="1">
    <w:name w:val="Заголовок 21"/>
    <w:basedOn w:val="798"/>
    <w:next w:val="798"/>
    <w:uiPriority w:val="99"/>
    <w:pPr>
      <w:jc w:val="center"/>
      <w:keepNext/>
      <w:spacing w:line="240" w:lineRule="atLeast"/>
      <w:widowControl w:val="off"/>
      <w:outlineLvl w:val="1"/>
    </w:pPr>
    <w:rPr>
      <w:b/>
      <w:sz w:val="16"/>
    </w:rPr>
  </w:style>
  <w:style w:type="paragraph" w:styleId="801" w:customStyle="1">
    <w:name w:val="ConsNonformat"/>
    <w:uiPriority w:val="99"/>
    <w:pPr>
      <w:widowControl w:val="off"/>
    </w:pPr>
    <w:rPr>
      <w:rFonts w:ascii="Courier New" w:hAnsi="Courier New"/>
    </w:rPr>
  </w:style>
  <w:style w:type="paragraph" w:styleId="802" w:customStyle="1">
    <w:name w:val="ConsNormal"/>
    <w:uiPriority w:val="99"/>
    <w:pPr>
      <w:ind w:firstLine="720"/>
      <w:widowControl w:val="off"/>
    </w:pPr>
    <w:rPr>
      <w:rFonts w:ascii="Helvetica" w:hAnsi="Helvetica"/>
      <w:sz w:val="16"/>
      <w:szCs w:val="16"/>
    </w:rPr>
  </w:style>
  <w:style w:type="table" w:styleId="803">
    <w:name w:val="Table Grid"/>
    <w:basedOn w:val="780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04" w:customStyle="1">
    <w:name w:val="Стиль"/>
    <w:uiPriority w:val="99"/>
    <w:pPr>
      <w:widowControl w:val="off"/>
    </w:pPr>
    <w:rPr>
      <w:sz w:val="24"/>
      <w:szCs w:val="24"/>
    </w:rPr>
  </w:style>
  <w:style w:type="character" w:styleId="805">
    <w:name w:val="Hyperlink"/>
    <w:uiPriority w:val="99"/>
    <w:rPr>
      <w:rFonts w:cs="Times New Roman"/>
      <w:color w:val="0000ff"/>
      <w:u w:val="single"/>
    </w:rPr>
  </w:style>
  <w:style w:type="paragraph" w:styleId="806">
    <w:name w:val="Balloon Text"/>
    <w:basedOn w:val="775"/>
    <w:link w:val="807"/>
    <w:uiPriority w:val="99"/>
    <w:rPr>
      <w:rFonts w:ascii="Tahoma" w:hAnsi="Tahoma"/>
      <w:sz w:val="16"/>
      <w:szCs w:val="16"/>
    </w:rPr>
  </w:style>
  <w:style w:type="character" w:styleId="807" w:customStyle="1">
    <w:name w:val="Текст выноски Знак"/>
    <w:link w:val="806"/>
    <w:uiPriority w:val="99"/>
    <w:rPr>
      <w:rFonts w:ascii="Tahoma" w:hAnsi="Tahoma" w:cs="Times New Roman"/>
      <w:sz w:val="16"/>
    </w:rPr>
  </w:style>
  <w:style w:type="paragraph" w:styleId="808">
    <w:name w:val="No Spacing"/>
    <w:uiPriority w:val="99"/>
    <w:qFormat/>
    <w:rPr>
      <w:rFonts w:ascii="Calibri" w:hAnsi="Calibri"/>
      <w:sz w:val="22"/>
      <w:szCs w:val="22"/>
      <w:lang w:eastAsia="en-US"/>
    </w:rPr>
  </w:style>
  <w:style w:type="paragraph" w:styleId="809">
    <w:name w:val="List Paragraph"/>
    <w:basedOn w:val="775"/>
    <w:uiPriority w:val="99"/>
    <w:qFormat/>
    <w:pPr>
      <w:ind w:left="708"/>
    </w:pPr>
  </w:style>
  <w:style w:type="paragraph" w:styleId="810" w:customStyle="1">
    <w:name w:val="ConsPlusNormal"/>
    <w:uiPriority w:val="99"/>
  </w:style>
  <w:style w:type="paragraph" w:styleId="811">
    <w:name w:val="Normal (Web)"/>
    <w:basedOn w:val="775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mailto:efp@gorgaz.ryazan.ru" TargetMode="External"/><Relationship Id="rId16" Type="http://schemas.openxmlformats.org/officeDocument/2006/relationships/hyperlink" Target="mailto:Alekseevama@t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0C36F-9F05-4F05-B5CF-BB36DF02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транспортировки газа № АГ-01-3-02723/15 от 30.11.2014 г.</dc:title>
  <dc:subject/>
  <dc:creator>dmiry</dc:creator>
  <cp:keywords/>
  <dc:description/>
  <cp:revision>57</cp:revision>
  <dcterms:created xsi:type="dcterms:W3CDTF">2018-09-18T08:37:00Z</dcterms:created>
  <dcterms:modified xsi:type="dcterms:W3CDTF">2026-01-16T08:15:25Z</dcterms:modified>
</cp:coreProperties>
</file>